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27" w:rsidRDefault="00F04476" w:rsidP="00177827">
      <w:pPr>
        <w:pStyle w:val="PublicationTitle"/>
        <w:spacing w:before="0"/>
      </w:pPr>
      <w:bookmarkStart w:id="0" w:name="_Toc296423677"/>
      <w:bookmarkStart w:id="1" w:name="_Toc296497508"/>
      <w:r>
        <w:rPr>
          <w:noProof/>
          <w:lang w:eastAsia="en-AU"/>
        </w:rPr>
        <w:drawing>
          <wp:anchor distT="0" distB="0" distL="114300" distR="114300" simplePos="0" relativeHeight="251729920" behindDoc="0" locked="0" layoutInCell="1" allowOverlap="1">
            <wp:simplePos x="0" y="0"/>
            <wp:positionH relativeFrom="column">
              <wp:posOffset>-186055</wp:posOffset>
            </wp:positionH>
            <wp:positionV relativeFrom="paragraph">
              <wp:posOffset>247015</wp:posOffset>
            </wp:positionV>
            <wp:extent cx="1847850" cy="395605"/>
            <wp:effectExtent l="19050" t="0" r="0" b="0"/>
            <wp:wrapSquare wrapText="bothSides"/>
            <wp:docPr id="4" name="Picture 4" descr="P:\PublicationComponents\logos\NCVER LOGOS\WMF - word\No lines\NCVER_Floating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ublicationComponents\logos\NCVER LOGOS\WMF - word\No lines\NCVER_Floating_Mono.wmf"/>
                    <pic:cNvPicPr>
                      <a:picLocks noChangeAspect="1" noChangeArrowheads="1"/>
                    </pic:cNvPicPr>
                  </pic:nvPicPr>
                  <pic:blipFill>
                    <a:blip r:embed="rId9" cstate="print"/>
                    <a:srcRect/>
                    <a:stretch>
                      <a:fillRect/>
                    </a:stretch>
                  </pic:blipFill>
                  <pic:spPr bwMode="auto">
                    <a:xfrm>
                      <a:off x="0" y="0"/>
                      <a:ext cx="1847850" cy="39560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722752" behindDoc="0" locked="0" layoutInCell="1" allowOverlap="1">
            <wp:simplePos x="0" y="0"/>
            <wp:positionH relativeFrom="column">
              <wp:posOffset>-405130</wp:posOffset>
            </wp:positionH>
            <wp:positionV relativeFrom="paragraph">
              <wp:posOffset>447040</wp:posOffset>
            </wp:positionV>
            <wp:extent cx="2200275" cy="1552575"/>
            <wp:effectExtent l="0" t="0" r="0" b="0"/>
            <wp:wrapSquare wrapText="bothSides"/>
            <wp:docPr id="3" name="Picture 6" descr="G:\pub_prod\PublicationComponents\logos\LSAY\LSAY logo B&amp;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ub_prod\PublicationComponents\logos\LSAY\LSAY logo B&amp;W.eps"/>
                    <pic:cNvPicPr>
                      <a:picLocks noChangeAspect="1" noChangeArrowheads="1"/>
                    </pic:cNvPicPr>
                  </pic:nvPicPr>
                  <pic:blipFill>
                    <a:blip r:embed="rId10" cstate="print"/>
                    <a:srcRect/>
                    <a:stretch>
                      <a:fillRect/>
                    </a:stretch>
                  </pic:blipFill>
                  <pic:spPr bwMode="auto">
                    <a:xfrm>
                      <a:off x="0" y="0"/>
                      <a:ext cx="2200275" cy="1552575"/>
                    </a:xfrm>
                    <a:prstGeom prst="rect">
                      <a:avLst/>
                    </a:prstGeom>
                    <a:noFill/>
                    <a:ln w="9525">
                      <a:noFill/>
                      <a:miter lim="800000"/>
                      <a:headEnd/>
                      <a:tailEnd/>
                    </a:ln>
                  </pic:spPr>
                </pic:pic>
              </a:graphicData>
            </a:graphic>
          </wp:anchor>
        </w:drawing>
      </w:r>
    </w:p>
    <w:p w:rsidR="00177827" w:rsidRDefault="00177827" w:rsidP="00A56A4A">
      <w:pPr>
        <w:pStyle w:val="PublicationTitle"/>
        <w:spacing w:before="0" w:after="0"/>
      </w:pPr>
    </w:p>
    <w:p w:rsidR="00A56A4A" w:rsidRDefault="00A56A4A" w:rsidP="00A56A4A">
      <w:pPr>
        <w:pStyle w:val="PublicationTitle"/>
        <w:spacing w:before="0" w:after="0"/>
        <w:rPr>
          <w:noProof/>
          <w:lang w:eastAsia="en-AU"/>
        </w:rPr>
      </w:pPr>
    </w:p>
    <w:bookmarkEnd w:id="0"/>
    <w:bookmarkEnd w:id="1"/>
    <w:p w:rsidR="00FE3200" w:rsidRDefault="00FE3200" w:rsidP="00F04476">
      <w:pPr>
        <w:pStyle w:val="PublicationTitle"/>
        <w:spacing w:before="0" w:after="400"/>
      </w:pPr>
    </w:p>
    <w:p w:rsidR="009E231A" w:rsidRPr="005C2FCF" w:rsidRDefault="00FA0A74" w:rsidP="00177827">
      <w:pPr>
        <w:pStyle w:val="PublicationTitle"/>
        <w:spacing w:before="0"/>
      </w:pPr>
      <w:r>
        <w:t>The f</w:t>
      </w:r>
      <w:r w:rsidR="00A32350" w:rsidRPr="00A32350">
        <w:t>actors affecti</w:t>
      </w:r>
      <w:r w:rsidR="000A499F">
        <w:t>ng the</w:t>
      </w:r>
      <w:r>
        <w:t> </w:t>
      </w:r>
      <w:r w:rsidR="000A499F">
        <w:t xml:space="preserve">educational </w:t>
      </w:r>
      <w:r w:rsidR="00A32350" w:rsidRPr="00A32350">
        <w:t>and occupational aspirations of</w:t>
      </w:r>
      <w:r w:rsidR="00FE3200">
        <w:t> </w:t>
      </w:r>
      <w:r w:rsidR="00A32350" w:rsidRPr="00A32350">
        <w:t>young Australians</w:t>
      </w:r>
    </w:p>
    <w:p w:rsidR="00177827" w:rsidRDefault="00D768EB" w:rsidP="00177827">
      <w:pPr>
        <w:pStyle w:val="Authors"/>
      </w:pPr>
      <w:bookmarkStart w:id="2" w:name="_Toc296423678"/>
      <w:bookmarkStart w:id="3" w:name="_Toc296497509"/>
      <w:r>
        <w:t>Sinan Gemici</w:t>
      </w:r>
      <w:r w:rsidR="00FE3200">
        <w:br/>
      </w:r>
      <w:r w:rsidR="00AD4472">
        <w:t>Alice Bednarz</w:t>
      </w:r>
      <w:r w:rsidR="00FE3200">
        <w:br/>
      </w:r>
      <w:r w:rsidR="00B53275">
        <w:t>Tom Karmel</w:t>
      </w:r>
      <w:r w:rsidR="00FE3200">
        <w:br/>
      </w:r>
      <w:r>
        <w:t>Patrick Lim</w:t>
      </w:r>
    </w:p>
    <w:bookmarkEnd w:id="2"/>
    <w:bookmarkEnd w:id="3"/>
    <w:p w:rsidR="009E231A" w:rsidRDefault="00A32350" w:rsidP="00177827">
      <w:pPr>
        <w:pStyle w:val="Organisation"/>
      </w:pPr>
      <w:r>
        <w:t>N</w:t>
      </w:r>
      <w:r w:rsidR="00C6302B">
        <w:t xml:space="preserve">ational </w:t>
      </w:r>
      <w:r>
        <w:t>C</w:t>
      </w:r>
      <w:r w:rsidR="00C6302B">
        <w:t xml:space="preserve">entre for </w:t>
      </w:r>
      <w:r w:rsidR="006819E8">
        <w:br/>
      </w:r>
      <w:r>
        <w:t>V</w:t>
      </w:r>
      <w:r w:rsidR="00C6302B">
        <w:t xml:space="preserve">ocational </w:t>
      </w:r>
      <w:r>
        <w:t>E</w:t>
      </w:r>
      <w:r w:rsidR="00C6302B">
        <w:t xml:space="preserve">ducation </w:t>
      </w:r>
      <w:r>
        <w:t>R</w:t>
      </w:r>
      <w:r w:rsidR="00C6302B">
        <w:t>esearch</w:t>
      </w:r>
    </w:p>
    <w:p w:rsidR="00DB599C" w:rsidRDefault="00170BFE"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8240;mso-position-vertical-relative:margin" filled="f" stroked="f">
            <v:textbox style="mso-next-textbox:#_x0000_s1034">
              <w:txbxContent>
                <w:p w:rsidR="004604D3" w:rsidRPr="00861CE5" w:rsidRDefault="004604D3" w:rsidP="00861CE5">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t>
                  </w:r>
                  <w:r>
                    <w:rPr>
                      <w:color w:val="000000"/>
                    </w:rPr>
                    <w:t xml:space="preserve">ws of the Australian Government </w:t>
                  </w:r>
                  <w:r>
                    <w:rPr>
                      <w:color w:val="000000"/>
                    </w:rPr>
                    <w:br/>
                    <w:t>or</w:t>
                  </w:r>
                  <w:r w:rsidRPr="005C2FCF">
                    <w:rPr>
                      <w:color w:val="000000"/>
                    </w:rPr>
                    <w:t xml:space="preserve"> </w:t>
                  </w:r>
                  <w:r>
                    <w:rPr>
                      <w:color w:val="000000"/>
                    </w:rPr>
                    <w:t>state and territory governments.</w:t>
                  </w:r>
                </w:p>
              </w:txbxContent>
            </v:textbox>
            <w10:wrap anchory="margin"/>
          </v:shape>
        </w:pict>
      </w:r>
    </w:p>
    <w:p w:rsidR="008B22E2" w:rsidRDefault="00170BFE" w:rsidP="00E57478">
      <w:pPr>
        <w:pStyle w:val="Heading3"/>
        <w:ind w:right="-1"/>
      </w:pPr>
      <w:r>
        <w:rPr>
          <w:noProof/>
          <w:lang w:eastAsia="en-AU"/>
        </w:rPr>
        <w:pict>
          <v:shape id="_x0000_s1036" type="#_x0000_t202" style="position:absolute;margin-left:79.95pt;margin-top:555.35pt;width:304.85pt;height:83pt;z-index:251660288;mso-position-vertical-relative:margin" filled="f" stroked="f">
            <v:textbox style="mso-next-textbox:#_x0000_s1036">
              <w:txbxContent>
                <w:p w:rsidR="004604D3" w:rsidRPr="00FE3200" w:rsidRDefault="004604D3" w:rsidP="00C6302B">
                  <w:pPr>
                    <w:pStyle w:val="Heading3"/>
                    <w:rPr>
                      <w:rFonts w:ascii="Trebuchet MS" w:hAnsi="Trebuchet MS"/>
                      <w:szCs w:val="24"/>
                    </w:rPr>
                  </w:pPr>
                  <w:r w:rsidRPr="00FE3200">
                    <w:rPr>
                      <w:rFonts w:ascii="Trebuchet MS" w:hAnsi="Trebuchet MS"/>
                      <w:szCs w:val="24"/>
                    </w:rPr>
                    <w:t xml:space="preserve">LONGITUDINAL SURVEYS </w:t>
                  </w:r>
                  <w:r>
                    <w:rPr>
                      <w:rFonts w:ascii="Trebuchet MS" w:hAnsi="Trebuchet MS"/>
                      <w:szCs w:val="24"/>
                    </w:rPr>
                    <w:br/>
                  </w:r>
                  <w:r w:rsidRPr="00FE3200">
                    <w:rPr>
                      <w:rFonts w:ascii="Trebuchet MS" w:hAnsi="Trebuchet MS"/>
                      <w:szCs w:val="24"/>
                    </w:rPr>
                    <w:t>OF AUSTRALIAN YOUTH</w:t>
                  </w:r>
                </w:p>
                <w:p w:rsidR="004604D3" w:rsidRPr="00FE3200" w:rsidRDefault="004604D3" w:rsidP="00FE3200">
                  <w:pPr>
                    <w:pStyle w:val="Heading3"/>
                    <w:spacing w:before="80"/>
                    <w:rPr>
                      <w:szCs w:val="24"/>
                    </w:rPr>
                  </w:pPr>
                  <w:r w:rsidRPr="001D46AF">
                    <w:rPr>
                      <w:rFonts w:ascii="Trebuchet MS" w:hAnsi="Trebuchet MS"/>
                      <w:b/>
                      <w:szCs w:val="24"/>
                    </w:rPr>
                    <w:t>RESEARCH REPORT NO.66</w:t>
                  </w:r>
                </w:p>
              </w:txbxContent>
            </v:textbox>
            <w10:wrap anchory="margin"/>
          </v:shape>
        </w:pict>
      </w:r>
      <w:r w:rsidR="00FE4A2D" w:rsidRPr="005C2FCF">
        <w:br w:type="page"/>
      </w:r>
    </w:p>
    <w:p w:rsidR="009E231A" w:rsidRDefault="00FE4A2D" w:rsidP="00E57478">
      <w:pPr>
        <w:pStyle w:val="Heading3"/>
        <w:ind w:right="-1"/>
      </w:pPr>
      <w:r w:rsidRPr="005C2FCF">
        <w:lastRenderedPageBreak/>
        <w:t>Publisher’s note</w:t>
      </w:r>
    </w:p>
    <w:p w:rsidR="00AC52AC" w:rsidRPr="004604D3" w:rsidRDefault="00AC52AC" w:rsidP="004604D3">
      <w:pPr>
        <w:pStyle w:val="Heading4"/>
        <w:spacing w:before="120"/>
        <w:rPr>
          <w:sz w:val="18"/>
          <w:szCs w:val="18"/>
        </w:rPr>
      </w:pPr>
      <w:r w:rsidRPr="004604D3">
        <w:rPr>
          <w:sz w:val="18"/>
          <w:szCs w:val="18"/>
        </w:rPr>
        <w:t>Amendment</w:t>
      </w:r>
      <w:r w:rsidR="00A01AD0">
        <w:rPr>
          <w:sz w:val="18"/>
          <w:szCs w:val="18"/>
        </w:rPr>
        <w:t>s</w:t>
      </w:r>
      <w:r w:rsidRPr="004604D3">
        <w:rPr>
          <w:sz w:val="18"/>
          <w:szCs w:val="18"/>
        </w:rPr>
        <w:t xml:space="preserve"> made 26 June 2014</w:t>
      </w:r>
    </w:p>
    <w:p w:rsidR="00AC52AC" w:rsidRDefault="00AC52AC" w:rsidP="004604D3">
      <w:pPr>
        <w:pStyle w:val="Imprint"/>
        <w:spacing w:line="240" w:lineRule="auto"/>
      </w:pPr>
      <w:r>
        <w:t>Page 7</w:t>
      </w:r>
      <w:r w:rsidR="004604D3">
        <w:t>,</w:t>
      </w:r>
      <w:r>
        <w:t xml:space="preserve"> Executive summary — 4</w:t>
      </w:r>
      <w:r w:rsidRPr="00AC52AC">
        <w:rPr>
          <w:vertAlign w:val="superscript"/>
        </w:rPr>
        <w:t>th</w:t>
      </w:r>
      <w:r>
        <w:t xml:space="preserve"> paragraph, </w:t>
      </w:r>
      <w:r w:rsidR="004604D3">
        <w:t xml:space="preserve">end of </w:t>
      </w:r>
      <w:r>
        <w:t>3</w:t>
      </w:r>
      <w:r w:rsidRPr="00AC52AC">
        <w:rPr>
          <w:vertAlign w:val="superscript"/>
        </w:rPr>
        <w:t>rd</w:t>
      </w:r>
      <w:r w:rsidR="00170BFE">
        <w:t xml:space="preserve"> line</w:t>
      </w:r>
      <w:r>
        <w:t xml:space="preserve">: </w:t>
      </w:r>
      <w:r w:rsidRPr="00AC52AC">
        <w:t xml:space="preserve">at age </w:t>
      </w:r>
      <w:r>
        <w:t>1</w:t>
      </w:r>
      <w:r w:rsidR="004604D3">
        <w:t>5 years,</w:t>
      </w:r>
    </w:p>
    <w:p w:rsidR="004604D3" w:rsidRPr="00AC52AC" w:rsidRDefault="004604D3" w:rsidP="004604D3">
      <w:pPr>
        <w:pStyle w:val="Imprint"/>
        <w:spacing w:before="0"/>
      </w:pPr>
      <w:r>
        <w:t>Page 30, Conclusion — 3</w:t>
      </w:r>
      <w:r w:rsidRPr="004604D3">
        <w:rPr>
          <w:vertAlign w:val="superscript"/>
        </w:rPr>
        <w:t>rd</w:t>
      </w:r>
      <w:r w:rsidR="00170BFE">
        <w:t xml:space="preserve"> line:</w:t>
      </w:r>
      <w:bookmarkStart w:id="4" w:name="_GoBack"/>
      <w:bookmarkEnd w:id="4"/>
      <w:r>
        <w:t xml:space="preserve"> …</w:t>
      </w:r>
      <w:r w:rsidRPr="004604D3">
        <w:t xml:space="preserve"> academic achievement at age 15 years,</w:t>
      </w:r>
      <w:r>
        <w:t xml:space="preserve"> </w:t>
      </w:r>
      <w:r w:rsidRPr="004604D3">
        <w:t>and parental and peer</w:t>
      </w:r>
    </w:p>
    <w:p w:rsidR="008159A6" w:rsidRPr="00FA4E2D" w:rsidRDefault="008159A6" w:rsidP="008159A6">
      <w:pPr>
        <w:pStyle w:val="Imprint"/>
        <w:ind w:right="1133"/>
      </w:pPr>
      <w:r w:rsidRPr="00FA4E2D">
        <w:t xml:space="preserve">Additional information relating to this research is available in </w:t>
      </w:r>
      <w:r w:rsidR="00FA0A74">
        <w:rPr>
          <w:i/>
        </w:rPr>
        <w:t>The f</w:t>
      </w:r>
      <w:r>
        <w:rPr>
          <w:i/>
        </w:rPr>
        <w:t>actors affecting the educational and occupational aspirations of young Australians</w:t>
      </w:r>
      <w:r w:rsidRPr="00D418CE">
        <w:rPr>
          <w:i/>
        </w:rPr>
        <w:t xml:space="preserve">: </w:t>
      </w:r>
      <w:r>
        <w:rPr>
          <w:i/>
        </w:rPr>
        <w:t>s</w:t>
      </w:r>
      <w:r w:rsidRPr="00D418CE">
        <w:rPr>
          <w:i/>
        </w:rPr>
        <w:t>upport document</w:t>
      </w:r>
      <w:r>
        <w:t>.</w:t>
      </w:r>
      <w:r w:rsidRPr="00FA4E2D">
        <w:t xml:space="preserve"> It can be accessed from </w:t>
      </w:r>
      <w:r w:rsidR="008726D9">
        <w:t>LSAY’s</w:t>
      </w:r>
      <w:r w:rsidRPr="00FA4E2D">
        <w:t xml:space="preserve"> website &lt;</w:t>
      </w:r>
      <w:r>
        <w:t>http://www.</w:t>
      </w:r>
      <w:r w:rsidR="008726D9">
        <w:t>lsay</w:t>
      </w:r>
      <w:r>
        <w:t>.edu.au/publications/2711.html&gt;</w:t>
      </w:r>
      <w:r w:rsidRPr="00FA4E2D">
        <w:t>.</w:t>
      </w:r>
    </w:p>
    <w:p w:rsidR="00233BFA" w:rsidRDefault="00233BFA" w:rsidP="00042888">
      <w:pPr>
        <w:pStyle w:val="Imprint"/>
        <w:ind w:right="1133"/>
      </w:pPr>
      <w:r>
        <w:t>To find other material of interest, search VOCED</w:t>
      </w:r>
      <w:r w:rsidR="00713F63">
        <w:t>plus</w:t>
      </w:r>
      <w:r>
        <w:t xml:space="preserve"> (the UNESCO/NCVER international database &lt;</w:t>
      </w:r>
      <w:hyperlink r:id="rId11" w:history="1">
        <w:r>
          <w:t>http://www.voced.edu.au</w:t>
        </w:r>
      </w:hyperlink>
      <w:r>
        <w:t>&gt;) using the following keywords</w:t>
      </w:r>
      <w:r w:rsidR="00DE57A6">
        <w:t>: aspirations; youth; decision making; family; participation; university; career choice; outcomes.</w:t>
      </w:r>
    </w:p>
    <w:p w:rsidR="00FF5931" w:rsidRDefault="00FF5931" w:rsidP="00233BFA">
      <w:pPr>
        <w:pStyle w:val="Imprint"/>
        <w:rPr>
          <w:sz w:val="19"/>
          <w:szCs w:val="19"/>
        </w:rPr>
      </w:pPr>
    </w:p>
    <w:p w:rsidR="009E231A" w:rsidRPr="00C77DC6" w:rsidRDefault="00170BFE" w:rsidP="0049453B">
      <w:pPr>
        <w:pStyle w:val="Abouttheresearch"/>
      </w:pPr>
      <w:r>
        <w:pict>
          <v:shape id="_x0000_s1038" type="#_x0000_t202" style="position:absolute;margin-left:0;margin-top:94.65pt;width:379.45pt;height:456pt;z-index:251661312;v-text-anchor:bottom" filled="f" stroked="f">
            <v:textbox style="mso-next-textbox:#_x0000_s1038" inset="0,,0">
              <w:txbxContent>
                <w:p w:rsidR="004604D3" w:rsidRPr="00A021FC" w:rsidRDefault="004604D3" w:rsidP="00FE3200">
                  <w:pPr>
                    <w:pStyle w:val="Imprint"/>
                    <w:rPr>
                      <w:b/>
                    </w:rPr>
                  </w:pPr>
                  <w:r w:rsidRPr="00A021FC">
                    <w:rPr>
                      <w:b/>
                    </w:rPr>
                    <w:t xml:space="preserve">© Commonwealth of Australia, </w:t>
                  </w:r>
                  <w:r>
                    <w:rPr>
                      <w:b/>
                    </w:rPr>
                    <w:t>2014</w:t>
                  </w:r>
                </w:p>
                <w:p w:rsidR="004604D3" w:rsidRDefault="004604D3" w:rsidP="00FE3200">
                  <w:pPr>
                    <w:pStyle w:val="Imprint"/>
                    <w:rPr>
                      <w:sz w:val="20"/>
                    </w:rPr>
                  </w:pPr>
                  <w:r w:rsidRPr="00E80270">
                    <w:rPr>
                      <w:noProof/>
                      <w:sz w:val="20"/>
                      <w:lang w:eastAsia="en-AU"/>
                    </w:rPr>
                    <w:drawing>
                      <wp:inline distT="0" distB="0" distL="0" distR="0" wp14:anchorId="45A34446" wp14:editId="237F0EDE">
                        <wp:extent cx="850265" cy="302895"/>
                        <wp:effectExtent l="19050" t="0" r="6985" b="0"/>
                        <wp:docPr id="1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4604D3" w:rsidRPr="00986030" w:rsidRDefault="004604D3" w:rsidP="00FE3200">
                  <w:pPr>
                    <w:pStyle w:val="Imprint"/>
                  </w:pPr>
                  <w:r w:rsidRPr="0098603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4604D3" w:rsidRPr="00986030" w:rsidRDefault="004604D3" w:rsidP="00042888">
                  <w:pPr>
                    <w:pStyle w:val="Imprint"/>
                    <w:spacing w:before="80"/>
                  </w:pPr>
                  <w:r w:rsidRPr="00986030">
                    <w:t>The details of the relevant licence conditions are available on the Creative Commons website (accessible</w:t>
                  </w:r>
                  <w:r>
                    <w:t> </w:t>
                  </w:r>
                  <w:r w:rsidRPr="00986030">
                    <w:t>using the links provided) as is the full legal code for the CC BY 3.0 AU licence &lt;http://creativecommons.org/licenses/by/3.0/legalcode&gt;.</w:t>
                  </w:r>
                </w:p>
                <w:p w:rsidR="004604D3" w:rsidRPr="00986030" w:rsidRDefault="004604D3" w:rsidP="00042888">
                  <w:pPr>
                    <w:pStyle w:val="Imprint"/>
                    <w:spacing w:before="80"/>
                  </w:pPr>
                  <w:r w:rsidRPr="00986030">
                    <w:t>The Creative Commons licence conditions do not apply to all logos, graphic design, artwork and photographs. Requests and enquiries concerning other reproduction and rights should be directed to the National Centre for Vocational Education Research (NCVER).</w:t>
                  </w:r>
                </w:p>
                <w:p w:rsidR="004604D3" w:rsidRPr="00986030" w:rsidRDefault="004604D3" w:rsidP="00FE3200">
                  <w:pPr>
                    <w:pStyle w:val="Imprint"/>
                  </w:pPr>
                  <w:r w:rsidRPr="00986030">
                    <w:t xml:space="preserve">This document should be attributed as </w:t>
                  </w:r>
                  <w:r>
                    <w:t xml:space="preserve">Gemici, S, Bednarz, A, Karmel, T &amp; Lim, P 2014, </w:t>
                  </w:r>
                  <w:r>
                    <w:rPr>
                      <w:i/>
                    </w:rPr>
                    <w:t>The factors affecting the educational and occupational aspirations of young Australians</w:t>
                  </w:r>
                  <w:r w:rsidRPr="00986030">
                    <w:t>, NCVER, Adelaide.</w:t>
                  </w:r>
                </w:p>
                <w:p w:rsidR="004604D3" w:rsidRPr="00986030" w:rsidRDefault="004604D3" w:rsidP="00042888">
                  <w:pPr>
                    <w:pStyle w:val="Imprint"/>
                    <w:spacing w:before="80"/>
                  </w:pPr>
                  <w:r w:rsidRPr="00986030">
                    <w:t>This work has been produced by NCVER through the Longitudinal Surveys of Australian Youth (LSAY) Program, on behalf of the Australian Government and state and territory governments, with funding provided through the Aus</w:t>
                  </w:r>
                  <w:r>
                    <w:t>tralian Department of Education</w:t>
                  </w:r>
                  <w:r w:rsidRPr="00986030">
                    <w:t xml:space="preserve">. </w:t>
                  </w:r>
                </w:p>
                <w:p w:rsidR="004604D3" w:rsidRPr="00EC29E3" w:rsidRDefault="004604D3" w:rsidP="00541B94">
                  <w:pPr>
                    <w:pStyle w:val="Imprint"/>
                    <w:ind w:right="1700"/>
                    <w:rPr>
                      <w:smallCaps/>
                      <w:color w:val="000000"/>
                    </w:rPr>
                  </w:pPr>
                  <w:r>
                    <w:rPr>
                      <w:smallCaps/>
                      <w:color w:val="000000"/>
                    </w:rPr>
                    <w:t>COVER IMAGE: GETTY IMAGES/THINKSTOCK</w:t>
                  </w:r>
                </w:p>
                <w:p w:rsidR="004604D3" w:rsidRPr="005C2FCF" w:rsidRDefault="004604D3" w:rsidP="00A30084">
                  <w:pPr>
                    <w:pStyle w:val="Imprint"/>
                    <w:rPr>
                      <w:color w:val="000000"/>
                    </w:rPr>
                  </w:pPr>
                  <w:r w:rsidRPr="005C2FCF">
                    <w:rPr>
                      <w:color w:val="000000"/>
                    </w:rPr>
                    <w:t>ISBN</w:t>
                  </w:r>
                  <w:r w:rsidRPr="005C2FCF">
                    <w:rPr>
                      <w:color w:val="000000"/>
                    </w:rPr>
                    <w:tab/>
                  </w:r>
                  <w:r w:rsidRPr="007D4733">
                    <w:rPr>
                      <w:color w:val="000000"/>
                    </w:rPr>
                    <w:t>978 1 922056 79 5</w:t>
                  </w:r>
                  <w:r>
                    <w:rPr>
                      <w:color w:val="000000"/>
                    </w:rPr>
                    <w:tab/>
                    <w:t>(Amended 26 June 2014 — see Publisher’s note above for details.)</w:t>
                  </w:r>
                  <w:r>
                    <w:rPr>
                      <w:color w:val="000000"/>
                    </w:rPr>
                    <w:br/>
                  </w:r>
                  <w:r w:rsidRPr="005C2FCF">
                    <w:rPr>
                      <w:color w:val="000000"/>
                    </w:rPr>
                    <w:t>TD/TNC</w:t>
                  </w:r>
                  <w:r w:rsidRPr="005C2FCF">
                    <w:rPr>
                      <w:color w:val="000000"/>
                    </w:rPr>
                    <w:tab/>
                  </w:r>
                  <w:r w:rsidRPr="0018708F">
                    <w:rPr>
                      <w:color w:val="000000"/>
                    </w:rPr>
                    <w:t>115.03</w:t>
                  </w:r>
                </w:p>
                <w:p w:rsidR="004604D3" w:rsidRPr="005C2FCF" w:rsidRDefault="004604D3" w:rsidP="00042888">
                  <w:pPr>
                    <w:pStyle w:val="Imprint"/>
                    <w:spacing w:before="80"/>
                    <w:ind w:right="1700"/>
                    <w:rPr>
                      <w:color w:val="000000"/>
                    </w:rPr>
                  </w:pPr>
                  <w:r w:rsidRPr="005C2FCF">
                    <w:rPr>
                      <w:color w:val="000000"/>
                    </w:rPr>
                    <w:t>Published by NCVER</w:t>
                  </w:r>
                  <w:r>
                    <w:rPr>
                      <w:color w:val="000000"/>
                    </w:rPr>
                    <w:t xml:space="preserve">, </w:t>
                  </w:r>
                  <w:r w:rsidRPr="005C2FCF">
                    <w:rPr>
                      <w:color w:val="000000"/>
                    </w:rPr>
                    <w:t>ABN 87 007 967 311</w:t>
                  </w:r>
                </w:p>
                <w:p w:rsidR="004604D3" w:rsidRPr="005C2FCF" w:rsidRDefault="004604D3" w:rsidP="00042888">
                  <w:pPr>
                    <w:pStyle w:val="Imprint"/>
                    <w:spacing w:before="80"/>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4604D3" w:rsidRPr="00541B94" w:rsidRDefault="004604D3" w:rsidP="00042888">
                  <w:pPr>
                    <w:pStyle w:val="Imprint"/>
                    <w:spacing w:before="80"/>
                    <w:rPr>
                      <w:color w:val="000000"/>
                    </w:rPr>
                  </w:pPr>
                  <w:r w:rsidRPr="00042888">
                    <w:rPr>
                      <w:b/>
                      <w:color w:val="000000"/>
                    </w:rPr>
                    <w:t>P</w:t>
                  </w:r>
                  <w:r w:rsidRPr="005C2FCF">
                    <w:rPr>
                      <w:color w:val="000000"/>
                    </w:rPr>
                    <w:t xml:space="preserve"> +61 8 8230 8400 </w:t>
                  </w:r>
                  <w:r>
                    <w:rPr>
                      <w:color w:val="000000"/>
                    </w:rPr>
                    <w:t xml:space="preserve">  </w:t>
                  </w:r>
                  <w:r w:rsidRPr="00042888">
                    <w:rPr>
                      <w:b/>
                      <w:color w:val="000000"/>
                    </w:rPr>
                    <w:t>F</w:t>
                  </w:r>
                  <w:r w:rsidRPr="005C2FCF">
                    <w:rPr>
                      <w:color w:val="000000"/>
                    </w:rPr>
                    <w:t xml:space="preserve"> +61 8 8212 3436</w:t>
                  </w:r>
                  <w:r>
                    <w:rPr>
                      <w:color w:val="000000"/>
                    </w:rPr>
                    <w:t xml:space="preserve">   </w:t>
                  </w:r>
                  <w:r w:rsidRPr="00042888">
                    <w:rPr>
                      <w:b/>
                      <w:color w:val="000000"/>
                    </w:rPr>
                    <w:t>E</w:t>
                  </w:r>
                  <w:r w:rsidRPr="005C2FCF">
                    <w:rPr>
                      <w:color w:val="000000"/>
                    </w:rPr>
                    <w:t xml:space="preserve"> </w:t>
                  </w:r>
                  <w:hyperlink r:id="rId13" w:history="1">
                    <w:r w:rsidRPr="00927FE2">
                      <w:rPr>
                        <w:rStyle w:val="Hyperlink"/>
                        <w:sz w:val="16"/>
                      </w:rPr>
                      <w:t>ncver@ncver.edu.au</w:t>
                    </w:r>
                  </w:hyperlink>
                  <w:r>
                    <w:rPr>
                      <w:color w:val="000000"/>
                    </w:rPr>
                    <w:t xml:space="preserve">   </w:t>
                  </w:r>
                  <w:r w:rsidRPr="00042888">
                    <w:rPr>
                      <w:b/>
                      <w:color w:val="000000"/>
                    </w:rPr>
                    <w:t>W</w:t>
                  </w:r>
                  <w:r>
                    <w:rPr>
                      <w:color w:val="000000"/>
                    </w:rPr>
                    <w:t xml:space="preserve"> </w:t>
                  </w:r>
                  <w:r w:rsidRPr="005C2FCF">
                    <w:rPr>
                      <w:color w:val="000000"/>
                    </w:rPr>
                    <w:t>&lt;http://www.</w:t>
                  </w:r>
                  <w:r>
                    <w:rPr>
                      <w:color w:val="000000"/>
                    </w:rPr>
                    <w:t>ncver</w:t>
                  </w:r>
                  <w:r w:rsidRPr="005C2FCF">
                    <w:rPr>
                      <w:color w:val="000000"/>
                    </w:rPr>
                    <w:t>.edu.au&gt;</w:t>
                  </w:r>
                  <w:r>
                    <w:rPr>
                      <w:color w:val="000000"/>
                    </w:rPr>
                    <w:t xml:space="preserve"> </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Default="00FA0A74" w:rsidP="00F93048">
      <w:pPr>
        <w:pStyle w:val="Abouttheresearchpubtitle"/>
      </w:pPr>
      <w:bookmarkStart w:id="18" w:name="_Toc98394877"/>
      <w:r>
        <w:t>The f</w:t>
      </w:r>
      <w:r w:rsidR="00A32350" w:rsidRPr="00A32350">
        <w:t>actors affect</w:t>
      </w:r>
      <w:r w:rsidR="000A499F">
        <w:t>ing the educational</w:t>
      </w:r>
      <w:r w:rsidR="00A32350" w:rsidRPr="00A32350">
        <w:t xml:space="preserve"> and occupational aspirations of</w:t>
      </w:r>
      <w:r>
        <w:t> </w:t>
      </w:r>
      <w:r w:rsidR="00A32350" w:rsidRPr="00A32350">
        <w:t>young Australians</w:t>
      </w:r>
    </w:p>
    <w:p w:rsidR="009E231A" w:rsidRPr="001B43CF" w:rsidRDefault="00D768EB" w:rsidP="00874DA5">
      <w:pPr>
        <w:pStyle w:val="Heading3"/>
      </w:pPr>
      <w:bookmarkStart w:id="19" w:name="_Toc296423681"/>
      <w:bookmarkStart w:id="20" w:name="_Toc296497512"/>
      <w:r>
        <w:t>Sinan Gemici, Alice Bednarz</w:t>
      </w:r>
      <w:r w:rsidR="00B53275">
        <w:t>, Tom Karmel</w:t>
      </w:r>
      <w:r>
        <w:t xml:space="preserve"> and Patrick Lim</w:t>
      </w:r>
      <w:r w:rsidR="00FE4A2D" w:rsidRPr="005C2FCF">
        <w:t xml:space="preserve">, </w:t>
      </w:r>
      <w:bookmarkEnd w:id="18"/>
      <w:bookmarkEnd w:id="19"/>
      <w:bookmarkEnd w:id="20"/>
      <w:r w:rsidR="00A32350">
        <w:t>NCVER</w:t>
      </w:r>
    </w:p>
    <w:p w:rsidR="00116E76" w:rsidRDefault="000D7F16" w:rsidP="00F30F22">
      <w:pPr>
        <w:pStyle w:val="Text"/>
        <w:spacing w:before="360"/>
        <w:ind w:right="0"/>
      </w:pPr>
      <w:r>
        <w:t xml:space="preserve">Given the </w:t>
      </w:r>
      <w:r w:rsidR="00AD69AB">
        <w:t>strong link between young people’s goals and their longer-term education and labour market outcomes, t</w:t>
      </w:r>
      <w:r w:rsidR="00116E76">
        <w:t xml:space="preserve">his report </w:t>
      </w:r>
      <w:r w:rsidR="00F46341">
        <w:t>sets out to determine</w:t>
      </w:r>
      <w:r>
        <w:t xml:space="preserve"> </w:t>
      </w:r>
      <w:r w:rsidR="00AD69AB">
        <w:t xml:space="preserve">which factors drive the </w:t>
      </w:r>
      <w:r w:rsidR="00116E76">
        <w:t>educational and occupational aspirations</w:t>
      </w:r>
      <w:r w:rsidR="00AD69AB">
        <w:t xml:space="preserve"> of young people</w:t>
      </w:r>
      <w:r w:rsidR="00116E76">
        <w:t xml:space="preserve">. </w:t>
      </w:r>
      <w:r w:rsidR="00F46341">
        <w:t>T</w:t>
      </w:r>
      <w:r>
        <w:t>he authors</w:t>
      </w:r>
      <w:r w:rsidR="00116E76">
        <w:t xml:space="preserve"> </w:t>
      </w:r>
      <w:r>
        <w:t>shed</w:t>
      </w:r>
      <w:r w:rsidR="004F7176">
        <w:t xml:space="preserve"> light on </w:t>
      </w:r>
      <w:r>
        <w:t xml:space="preserve">important </w:t>
      </w:r>
      <w:r w:rsidR="00C400CD">
        <w:t>influences</w:t>
      </w:r>
      <w:r>
        <w:t xml:space="preserve"> that drive </w:t>
      </w:r>
      <w:r w:rsidR="00116E76" w:rsidRPr="00F23728">
        <w:t>young people’s</w:t>
      </w:r>
      <w:r>
        <w:t xml:space="preserve"> </w:t>
      </w:r>
      <w:r w:rsidR="00116E76">
        <w:t>aspirations</w:t>
      </w:r>
      <w:r w:rsidR="00116E76" w:rsidRPr="00F23728">
        <w:t xml:space="preserve"> to complete Year 12</w:t>
      </w:r>
      <w:r w:rsidR="00F46341">
        <w:t>, their plans</w:t>
      </w:r>
      <w:r w:rsidR="00116E76" w:rsidRPr="00F23728">
        <w:t xml:space="preserve"> to commence university study in the first year after leaving school, and</w:t>
      </w:r>
      <w:r>
        <w:t xml:space="preserve"> </w:t>
      </w:r>
      <w:r w:rsidR="00F46341">
        <w:t xml:space="preserve">their </w:t>
      </w:r>
      <w:r w:rsidR="00116E76" w:rsidRPr="00F23728">
        <w:t>oc</w:t>
      </w:r>
      <w:r w:rsidR="00116E76">
        <w:t xml:space="preserve">cupational aspirations at age 15 </w:t>
      </w:r>
      <w:r w:rsidR="00C400CD">
        <w:t xml:space="preserve">years </w:t>
      </w:r>
      <w:r w:rsidR="00647F52">
        <w:t>in relation to</w:t>
      </w:r>
      <w:r w:rsidR="00116E76">
        <w:t xml:space="preserve"> the kind of job they</w:t>
      </w:r>
      <w:r w:rsidR="00116E76" w:rsidRPr="00921C8F">
        <w:t xml:space="preserve"> expect to have </w:t>
      </w:r>
      <w:r w:rsidR="00116E76">
        <w:t>at age 30</w:t>
      </w:r>
      <w:r w:rsidR="00647F52">
        <w:t xml:space="preserve"> years</w:t>
      </w:r>
      <w:r w:rsidR="00116E76" w:rsidRPr="00F23728">
        <w:t>.</w:t>
      </w:r>
      <w:r w:rsidR="00F46341">
        <w:t xml:space="preserve"> </w:t>
      </w:r>
      <w:r w:rsidR="00831086">
        <w:t xml:space="preserve">Identifying </w:t>
      </w:r>
      <w:r w:rsidR="00C400CD">
        <w:t xml:space="preserve">the </w:t>
      </w:r>
      <w:r w:rsidR="00831086">
        <w:t xml:space="preserve">factors </w:t>
      </w:r>
      <w:r w:rsidR="00C400CD">
        <w:t>with the potential to</w:t>
      </w:r>
      <w:r w:rsidR="00831086">
        <w:t xml:space="preserve"> be influenced by policy</w:t>
      </w:r>
      <w:r w:rsidR="00746979">
        <w:t xml:space="preserve"> is among the study’s</w:t>
      </w:r>
      <w:r w:rsidR="00F46341">
        <w:t xml:space="preserve"> key </w:t>
      </w:r>
      <w:r w:rsidR="00746979">
        <w:t>objectives.</w:t>
      </w:r>
    </w:p>
    <w:p w:rsidR="009E231A" w:rsidRPr="005C2FCF" w:rsidRDefault="00FE4A2D" w:rsidP="0049453B">
      <w:pPr>
        <w:pStyle w:val="Keymessages"/>
      </w:pPr>
      <w:bookmarkStart w:id="21" w:name="_Toc98394878"/>
      <w:bookmarkStart w:id="22" w:name="_Toc296423682"/>
      <w:bookmarkStart w:id="23" w:name="_Toc296497513"/>
      <w:r w:rsidRPr="005C2FCF">
        <w:t>Key messages</w:t>
      </w:r>
      <w:bookmarkEnd w:id="21"/>
      <w:bookmarkEnd w:id="22"/>
      <w:bookmarkEnd w:id="23"/>
    </w:p>
    <w:p w:rsidR="00116E76" w:rsidRPr="00D93554" w:rsidRDefault="00D93554" w:rsidP="00121AB4">
      <w:pPr>
        <w:pStyle w:val="Dotpoint1"/>
        <w:rPr>
          <w:rFonts w:eastAsia="Calibri"/>
        </w:rPr>
      </w:pPr>
      <w:r>
        <w:t xml:space="preserve">The most influential factors </w:t>
      </w:r>
      <w:r w:rsidR="00116E76">
        <w:t xml:space="preserve">for </w:t>
      </w:r>
      <w:r>
        <w:t>students’ aspirations</w:t>
      </w:r>
      <w:r w:rsidR="00116E76">
        <w:t xml:space="preserve"> </w:t>
      </w:r>
      <w:r w:rsidR="00C400CD">
        <w:t>for</w:t>
      </w:r>
      <w:r w:rsidR="00116E76">
        <w:t xml:space="preserve"> complet</w:t>
      </w:r>
      <w:r w:rsidR="00C400CD">
        <w:t>ing</w:t>
      </w:r>
      <w:r w:rsidR="00116E76">
        <w:t xml:space="preserve"> Year 12 </w:t>
      </w:r>
      <w:r>
        <w:t>include</w:t>
      </w:r>
      <w:r w:rsidR="00647F52">
        <w:rPr>
          <w:rFonts w:eastAsia="Calibri"/>
        </w:rPr>
        <w:t xml:space="preserve"> their academic performance and</w:t>
      </w:r>
      <w:r w:rsidR="00116E76" w:rsidRPr="00D93554">
        <w:rPr>
          <w:rFonts w:eastAsia="Calibri"/>
        </w:rPr>
        <w:t xml:space="preserve"> immigration background</w:t>
      </w:r>
      <w:r w:rsidR="009D5E06" w:rsidRPr="00D93554">
        <w:rPr>
          <w:rFonts w:eastAsia="Calibri"/>
        </w:rPr>
        <w:t xml:space="preserve"> and </w:t>
      </w:r>
      <w:r w:rsidRPr="00D93554">
        <w:rPr>
          <w:rFonts w:eastAsia="Calibri"/>
        </w:rPr>
        <w:t>whether their parents expect</w:t>
      </w:r>
      <w:r w:rsidR="009D5E06" w:rsidRPr="00D93554">
        <w:rPr>
          <w:rFonts w:eastAsia="Calibri"/>
        </w:rPr>
        <w:t xml:space="preserve"> </w:t>
      </w:r>
      <w:r w:rsidRPr="00D93554">
        <w:rPr>
          <w:rFonts w:eastAsia="Calibri"/>
        </w:rPr>
        <w:t>them to go to university</w:t>
      </w:r>
      <w:r>
        <w:rPr>
          <w:rFonts w:eastAsia="Calibri"/>
        </w:rPr>
        <w:t>.</w:t>
      </w:r>
    </w:p>
    <w:p w:rsidR="00B938FC" w:rsidRDefault="00B938FC" w:rsidP="00121AB4">
      <w:pPr>
        <w:pStyle w:val="Dotpoint1"/>
        <w:rPr>
          <w:rFonts w:eastAsia="Calibri"/>
        </w:rPr>
      </w:pPr>
      <w:r w:rsidRPr="00D93554">
        <w:rPr>
          <w:rFonts w:eastAsia="Calibri"/>
        </w:rPr>
        <w:t xml:space="preserve">Students whose parents want them to attend university are four times </w:t>
      </w:r>
      <w:r w:rsidR="00C400CD">
        <w:rPr>
          <w:rFonts w:eastAsia="Calibri"/>
        </w:rPr>
        <w:t>more likely to complete Year 12</w:t>
      </w:r>
      <w:r w:rsidRPr="00D93554">
        <w:rPr>
          <w:rFonts w:eastAsia="Calibri"/>
        </w:rPr>
        <w:t xml:space="preserve"> and 11 times more likely to plan to attend university </w:t>
      </w:r>
      <w:r w:rsidR="00C400CD">
        <w:rPr>
          <w:rFonts w:eastAsia="Calibri"/>
        </w:rPr>
        <w:t>compar</w:t>
      </w:r>
      <w:r w:rsidR="00FA0A74">
        <w:rPr>
          <w:rFonts w:eastAsia="Calibri"/>
        </w:rPr>
        <w:t>ed</w:t>
      </w:r>
      <w:r w:rsidR="00D27BB9">
        <w:rPr>
          <w:rFonts w:eastAsia="Calibri"/>
        </w:rPr>
        <w:t xml:space="preserve"> </w:t>
      </w:r>
      <w:r w:rsidR="00647F52">
        <w:rPr>
          <w:rFonts w:eastAsia="Calibri"/>
        </w:rPr>
        <w:t>with</w:t>
      </w:r>
      <w:r w:rsidR="00D27BB9">
        <w:rPr>
          <w:rFonts w:eastAsia="Calibri"/>
        </w:rPr>
        <w:t xml:space="preserve"> those whose parents expect them to choose a non-university pathway</w:t>
      </w:r>
      <w:r w:rsidR="00620D62" w:rsidRPr="00D93554">
        <w:rPr>
          <w:rFonts w:eastAsia="Calibri"/>
        </w:rPr>
        <w:t>.</w:t>
      </w:r>
    </w:p>
    <w:p w:rsidR="00116E76" w:rsidRDefault="00D93554" w:rsidP="00121AB4">
      <w:pPr>
        <w:pStyle w:val="Dotpoint1"/>
        <w:rPr>
          <w:rFonts w:eastAsia="Calibri"/>
        </w:rPr>
      </w:pPr>
      <w:r>
        <w:rPr>
          <w:rFonts w:eastAsia="Calibri"/>
        </w:rPr>
        <w:t>The higher education plans of p</w:t>
      </w:r>
      <w:r w:rsidR="00116E76">
        <w:rPr>
          <w:rFonts w:eastAsia="Calibri"/>
        </w:rPr>
        <w:t>eer</w:t>
      </w:r>
      <w:r>
        <w:rPr>
          <w:rFonts w:eastAsia="Calibri"/>
        </w:rPr>
        <w:t>s</w:t>
      </w:r>
      <w:r w:rsidR="00116E76">
        <w:rPr>
          <w:rFonts w:eastAsia="Calibri"/>
        </w:rPr>
        <w:t xml:space="preserve"> also have a strong influence: students whose friends plan to attend university are nearly </w:t>
      </w:r>
      <w:r w:rsidR="00116E76" w:rsidRPr="00121AB4">
        <w:rPr>
          <w:rFonts w:eastAsia="Calibri"/>
        </w:rPr>
        <w:t>four times</w:t>
      </w:r>
      <w:r w:rsidR="00116E76">
        <w:rPr>
          <w:rFonts w:eastAsia="Calibri"/>
        </w:rPr>
        <w:t xml:space="preserve"> more likely to plan to att</w:t>
      </w:r>
      <w:r w:rsidR="00620D62">
        <w:rPr>
          <w:rFonts w:eastAsia="Calibri"/>
        </w:rPr>
        <w:t>end university</w:t>
      </w:r>
      <w:r w:rsidR="00116E76">
        <w:rPr>
          <w:rFonts w:eastAsia="Calibri"/>
        </w:rPr>
        <w:t>.</w:t>
      </w:r>
    </w:p>
    <w:p w:rsidR="00121AB4" w:rsidRPr="00425FF0" w:rsidRDefault="00121AB4" w:rsidP="0048643A">
      <w:pPr>
        <w:pStyle w:val="Dotpoint1"/>
        <w:rPr>
          <w:rFonts w:eastAsia="Calibri"/>
        </w:rPr>
      </w:pPr>
      <w:r w:rsidRPr="00761B60">
        <w:rPr>
          <w:rFonts w:eastAsia="Calibri"/>
        </w:rPr>
        <w:t xml:space="preserve">Two of the strongest predictors of occupational aspirations are parental </w:t>
      </w:r>
      <w:r w:rsidR="00D27BB9" w:rsidRPr="00761B60">
        <w:rPr>
          <w:rFonts w:eastAsia="Calibri"/>
        </w:rPr>
        <w:t>influences</w:t>
      </w:r>
      <w:r w:rsidRPr="00761B60">
        <w:rPr>
          <w:rFonts w:eastAsia="Calibri"/>
        </w:rPr>
        <w:t xml:space="preserve"> and academic performance. Students whose parents want them to attend university have expected occupational status scores that are approximately 12 points higher</w:t>
      </w:r>
      <w:r w:rsidR="00D27BB9" w:rsidRPr="00761B60">
        <w:rPr>
          <w:rFonts w:eastAsia="Calibri"/>
        </w:rPr>
        <w:t>, on a 0 to 100 scale</w:t>
      </w:r>
      <w:r w:rsidR="001219F9" w:rsidRPr="00425FF0">
        <w:rPr>
          <w:rFonts w:eastAsia="Calibri"/>
        </w:rPr>
        <w:t>, than those students whose parents have no university expectations for them</w:t>
      </w:r>
      <w:r w:rsidRPr="00425FF0">
        <w:rPr>
          <w:rFonts w:eastAsia="Calibri"/>
        </w:rPr>
        <w:t>.</w:t>
      </w:r>
      <w:r w:rsidR="001219F9" w:rsidRPr="00425FF0">
        <w:rPr>
          <w:rFonts w:eastAsia="Calibri"/>
        </w:rPr>
        <w:t xml:space="preserve"> </w:t>
      </w:r>
    </w:p>
    <w:p w:rsidR="009E231A" w:rsidRPr="00D27BB9" w:rsidRDefault="00647F52" w:rsidP="0048643A">
      <w:pPr>
        <w:pStyle w:val="Dotpoint1"/>
        <w:rPr>
          <w:rFonts w:eastAsia="Calibri"/>
        </w:rPr>
      </w:pPr>
      <w:r w:rsidRPr="00761B60">
        <w:rPr>
          <w:rFonts w:eastAsia="Calibri"/>
        </w:rPr>
        <w:t>The job aspirations of 15-</w:t>
      </w:r>
      <w:r w:rsidR="00B21A6F" w:rsidRPr="00761B60">
        <w:rPr>
          <w:rFonts w:eastAsia="Calibri"/>
        </w:rPr>
        <w:t xml:space="preserve">year-olds </w:t>
      </w:r>
      <w:r w:rsidR="009339DE" w:rsidRPr="00761B60">
        <w:rPr>
          <w:rFonts w:eastAsia="Calibri"/>
        </w:rPr>
        <w:t>are somewhat unrealistic. By</w:t>
      </w:r>
      <w:r w:rsidR="00B21A6F" w:rsidRPr="00761B60">
        <w:rPr>
          <w:rFonts w:eastAsia="Calibri"/>
        </w:rPr>
        <w:t xml:space="preserve"> age 25</w:t>
      </w:r>
      <w:r w:rsidRPr="00761B60">
        <w:rPr>
          <w:rFonts w:eastAsia="Calibri"/>
        </w:rPr>
        <w:t xml:space="preserve"> years</w:t>
      </w:r>
      <w:r w:rsidR="00B21A6F" w:rsidRPr="00761B60">
        <w:rPr>
          <w:rFonts w:eastAsia="Calibri"/>
        </w:rPr>
        <w:t xml:space="preserve">, the age until which data are available for analysis, a significant portion of young people fall short of what they set out to achieve </w:t>
      </w:r>
      <w:r w:rsidRPr="00761B60">
        <w:rPr>
          <w:rFonts w:eastAsia="Calibri"/>
        </w:rPr>
        <w:t>in terms of occupation</w:t>
      </w:r>
      <w:r w:rsidR="00B21A6F" w:rsidRPr="00761B60">
        <w:rPr>
          <w:rFonts w:eastAsia="Calibri"/>
        </w:rPr>
        <w:t>. However, this does not mean that they cannot achieve their desired occupations at a later stage in life.</w:t>
      </w:r>
    </w:p>
    <w:p w:rsidR="009E231A" w:rsidRPr="00B368D5" w:rsidRDefault="006F5601" w:rsidP="00D94765">
      <w:pPr>
        <w:pStyle w:val="Text"/>
      </w:pPr>
      <w:r w:rsidRPr="00D27BB9">
        <w:rPr>
          <w:rFonts w:eastAsia="Calibri"/>
        </w:rPr>
        <w:t xml:space="preserve">Overall, this report illustrates just how important parents and peers are </w:t>
      </w:r>
      <w:r w:rsidR="00FA0A74">
        <w:rPr>
          <w:rFonts w:eastAsia="Calibri"/>
        </w:rPr>
        <w:t>to</w:t>
      </w:r>
      <w:r w:rsidR="00647F52">
        <w:rPr>
          <w:rFonts w:eastAsia="Calibri"/>
        </w:rPr>
        <w:t xml:space="preserve"> </w:t>
      </w:r>
      <w:r w:rsidRPr="00D27BB9">
        <w:rPr>
          <w:rFonts w:eastAsia="Calibri"/>
        </w:rPr>
        <w:t>young people’s aspirations.</w:t>
      </w:r>
      <w:r w:rsidR="00C421EA" w:rsidRPr="00D27BB9">
        <w:rPr>
          <w:rFonts w:eastAsia="Calibri"/>
        </w:rPr>
        <w:t xml:space="preserve"> Developing policies and interventions </w:t>
      </w:r>
      <w:r w:rsidRPr="00D27BB9">
        <w:rPr>
          <w:rFonts w:eastAsia="Calibri"/>
        </w:rPr>
        <w:t xml:space="preserve">that successfully </w:t>
      </w:r>
      <w:r w:rsidR="00C421EA" w:rsidRPr="00D27BB9">
        <w:rPr>
          <w:rFonts w:eastAsia="Calibri"/>
        </w:rPr>
        <w:t>leverage</w:t>
      </w:r>
      <w:r w:rsidRPr="00D27BB9">
        <w:rPr>
          <w:rFonts w:eastAsia="Calibri"/>
        </w:rPr>
        <w:t xml:space="preserve"> the influ</w:t>
      </w:r>
      <w:r w:rsidR="00C421EA" w:rsidRPr="00D27BB9">
        <w:rPr>
          <w:rFonts w:eastAsia="Calibri"/>
        </w:rPr>
        <w:t>ence of parents</w:t>
      </w:r>
      <w:r w:rsidRPr="00D27BB9">
        <w:rPr>
          <w:rFonts w:eastAsia="Calibri"/>
        </w:rPr>
        <w:t xml:space="preserve"> may </w:t>
      </w:r>
      <w:r w:rsidR="00346309" w:rsidRPr="00D27BB9">
        <w:rPr>
          <w:rFonts w:eastAsia="Calibri"/>
        </w:rPr>
        <w:t xml:space="preserve">yield a substantial pay-off with respect to </w:t>
      </w:r>
      <w:r w:rsidRPr="00D27BB9">
        <w:rPr>
          <w:rFonts w:eastAsia="Calibri"/>
        </w:rPr>
        <w:t>raising aspirations</w:t>
      </w:r>
      <w:r w:rsidRPr="00C421EA">
        <w:rPr>
          <w:rFonts w:eastAsia="Calibri"/>
        </w:rPr>
        <w:t>.</w:t>
      </w:r>
    </w:p>
    <w:p w:rsidR="00C421EA" w:rsidRPr="005C2FCF" w:rsidRDefault="00C421EA" w:rsidP="00D94765">
      <w:pPr>
        <w:pStyle w:val="Text"/>
      </w:pPr>
    </w:p>
    <w:p w:rsidR="009E231A" w:rsidRPr="005C2FCF" w:rsidRDefault="00116E76" w:rsidP="00D94765">
      <w:pPr>
        <w:pStyle w:val="Text"/>
      </w:pPr>
      <w:r>
        <w:t>Rod Camm</w:t>
      </w:r>
      <w:r w:rsidR="00FE4A2D" w:rsidRPr="005C2FCF">
        <w:br/>
        <w:t>Managing Director, NCVER</w:t>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4" w:name="_Toc98394880"/>
      <w:bookmarkStart w:id="25" w:name="_Toc296423683"/>
      <w:bookmarkStart w:id="26" w:name="_Toc296497514"/>
      <w:r w:rsidRPr="00DC5F5C">
        <w:lastRenderedPageBreak/>
        <w:t>Contents</w:t>
      </w:r>
      <w:bookmarkEnd w:id="24"/>
      <w:bookmarkEnd w:id="25"/>
      <w:bookmarkEnd w:id="26"/>
    </w:p>
    <w:p w:rsidR="00362315" w:rsidRDefault="006F7B7D">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362315">
        <w:t>Tables and figures</w:t>
      </w:r>
      <w:r w:rsidR="00362315">
        <w:tab/>
      </w:r>
      <w:r>
        <w:fldChar w:fldCharType="begin"/>
      </w:r>
      <w:r w:rsidR="00362315">
        <w:instrText xml:space="preserve"> PAGEREF _Toc380048236 \h </w:instrText>
      </w:r>
      <w:r>
        <w:fldChar w:fldCharType="separate"/>
      </w:r>
      <w:r w:rsidR="00362315">
        <w:t>6</w:t>
      </w:r>
      <w:r>
        <w:fldChar w:fldCharType="end"/>
      </w:r>
    </w:p>
    <w:p w:rsidR="00362315" w:rsidRDefault="00362315">
      <w:pPr>
        <w:pStyle w:val="TOC1"/>
        <w:rPr>
          <w:rFonts w:asciiTheme="minorHAnsi" w:eastAsiaTheme="minorEastAsia" w:hAnsiTheme="minorHAnsi" w:cstheme="minorBidi"/>
          <w:color w:val="auto"/>
          <w:sz w:val="22"/>
          <w:szCs w:val="22"/>
          <w:lang w:eastAsia="en-AU"/>
        </w:rPr>
      </w:pPr>
      <w:r>
        <w:t>Executive summary</w:t>
      </w:r>
      <w:r>
        <w:tab/>
      </w:r>
      <w:r w:rsidR="006F7B7D">
        <w:fldChar w:fldCharType="begin"/>
      </w:r>
      <w:r>
        <w:instrText xml:space="preserve"> PAGEREF _Toc380048239 \h </w:instrText>
      </w:r>
      <w:r w:rsidR="006F7B7D">
        <w:fldChar w:fldCharType="separate"/>
      </w:r>
      <w:r>
        <w:t>7</w:t>
      </w:r>
      <w:r w:rsidR="006F7B7D">
        <w:fldChar w:fldCharType="end"/>
      </w:r>
    </w:p>
    <w:p w:rsidR="00362315" w:rsidRDefault="00362315">
      <w:pPr>
        <w:pStyle w:val="TOC1"/>
        <w:rPr>
          <w:rFonts w:asciiTheme="minorHAnsi" w:eastAsiaTheme="minorEastAsia" w:hAnsiTheme="minorHAnsi" w:cstheme="minorBidi"/>
          <w:color w:val="auto"/>
          <w:sz w:val="22"/>
          <w:szCs w:val="22"/>
          <w:lang w:eastAsia="en-AU"/>
        </w:rPr>
      </w:pPr>
      <w:r>
        <w:t>Introduction</w:t>
      </w:r>
      <w:r>
        <w:tab/>
      </w:r>
      <w:r w:rsidR="006F7B7D">
        <w:fldChar w:fldCharType="begin"/>
      </w:r>
      <w:r>
        <w:instrText xml:space="preserve"> PAGEREF _Toc380048240 \h </w:instrText>
      </w:r>
      <w:r w:rsidR="006F7B7D">
        <w:fldChar w:fldCharType="separate"/>
      </w:r>
      <w:r>
        <w:t>8</w:t>
      </w:r>
      <w:r w:rsidR="006F7B7D">
        <w:fldChar w:fldCharType="end"/>
      </w:r>
    </w:p>
    <w:p w:rsidR="00362315" w:rsidRDefault="00362315">
      <w:pPr>
        <w:pStyle w:val="TOC1"/>
        <w:rPr>
          <w:rFonts w:asciiTheme="minorHAnsi" w:eastAsiaTheme="minorEastAsia" w:hAnsiTheme="minorHAnsi" w:cstheme="minorBidi"/>
          <w:color w:val="auto"/>
          <w:sz w:val="22"/>
          <w:szCs w:val="22"/>
          <w:lang w:eastAsia="en-AU"/>
        </w:rPr>
      </w:pPr>
      <w:r>
        <w:t>Data and sample</w:t>
      </w:r>
      <w:r>
        <w:tab/>
      </w:r>
      <w:r w:rsidR="006F7B7D">
        <w:fldChar w:fldCharType="begin"/>
      </w:r>
      <w:r>
        <w:instrText xml:space="preserve"> PAGEREF _Toc380048241 \h </w:instrText>
      </w:r>
      <w:r w:rsidR="006F7B7D">
        <w:fldChar w:fldCharType="separate"/>
      </w:r>
      <w:r>
        <w:t>9</w:t>
      </w:r>
      <w:r w:rsidR="006F7B7D">
        <w:fldChar w:fldCharType="end"/>
      </w:r>
    </w:p>
    <w:p w:rsidR="00362315" w:rsidRDefault="00362315">
      <w:pPr>
        <w:pStyle w:val="TOC2"/>
        <w:rPr>
          <w:rFonts w:asciiTheme="minorHAnsi" w:eastAsiaTheme="minorEastAsia" w:hAnsiTheme="minorHAnsi" w:cstheme="minorBidi"/>
          <w:color w:val="auto"/>
          <w:sz w:val="22"/>
          <w:szCs w:val="22"/>
          <w:lang w:eastAsia="en-AU"/>
        </w:rPr>
      </w:pPr>
      <w:r>
        <w:t>Outcome measures</w:t>
      </w:r>
      <w:r>
        <w:tab/>
      </w:r>
      <w:r w:rsidR="006F7B7D">
        <w:fldChar w:fldCharType="begin"/>
      </w:r>
      <w:r>
        <w:instrText xml:space="preserve"> PAGEREF _Toc380048242 \h </w:instrText>
      </w:r>
      <w:r w:rsidR="006F7B7D">
        <w:fldChar w:fldCharType="separate"/>
      </w:r>
      <w:r>
        <w:t>9</w:t>
      </w:r>
      <w:r w:rsidR="006F7B7D">
        <w:fldChar w:fldCharType="end"/>
      </w:r>
    </w:p>
    <w:p w:rsidR="00362315" w:rsidRDefault="00362315">
      <w:pPr>
        <w:pStyle w:val="TOC2"/>
        <w:rPr>
          <w:rFonts w:asciiTheme="minorHAnsi" w:eastAsiaTheme="minorEastAsia" w:hAnsiTheme="minorHAnsi" w:cstheme="minorBidi"/>
          <w:color w:val="auto"/>
          <w:sz w:val="22"/>
          <w:szCs w:val="22"/>
          <w:lang w:eastAsia="en-AU"/>
        </w:rPr>
      </w:pPr>
      <w:r>
        <w:t>Predictors</w:t>
      </w:r>
      <w:r>
        <w:tab/>
      </w:r>
      <w:r w:rsidR="006F7B7D">
        <w:fldChar w:fldCharType="begin"/>
      </w:r>
      <w:r>
        <w:instrText xml:space="preserve"> PAGEREF _Toc380048243 \h </w:instrText>
      </w:r>
      <w:r w:rsidR="006F7B7D">
        <w:fldChar w:fldCharType="separate"/>
      </w:r>
      <w:r>
        <w:t>10</w:t>
      </w:r>
      <w:r w:rsidR="006F7B7D">
        <w:fldChar w:fldCharType="end"/>
      </w:r>
    </w:p>
    <w:p w:rsidR="00362315" w:rsidRDefault="00362315">
      <w:pPr>
        <w:pStyle w:val="TOC1"/>
        <w:rPr>
          <w:rFonts w:asciiTheme="minorHAnsi" w:eastAsiaTheme="minorEastAsia" w:hAnsiTheme="minorHAnsi" w:cstheme="minorBidi"/>
          <w:color w:val="auto"/>
          <w:sz w:val="22"/>
          <w:szCs w:val="22"/>
          <w:lang w:eastAsia="en-AU"/>
        </w:rPr>
      </w:pPr>
      <w:r>
        <w:t>Which are the strongest drivers of aspirations?</w:t>
      </w:r>
      <w:r>
        <w:tab/>
      </w:r>
      <w:r w:rsidR="006F7B7D">
        <w:fldChar w:fldCharType="begin"/>
      </w:r>
      <w:r>
        <w:instrText xml:space="preserve"> PAGEREF _Toc380048244 \h </w:instrText>
      </w:r>
      <w:r w:rsidR="006F7B7D">
        <w:fldChar w:fldCharType="separate"/>
      </w:r>
      <w:r>
        <w:t>13</w:t>
      </w:r>
      <w:r w:rsidR="006F7B7D">
        <w:fldChar w:fldCharType="end"/>
      </w:r>
    </w:p>
    <w:p w:rsidR="00362315" w:rsidRDefault="00362315">
      <w:pPr>
        <w:pStyle w:val="TOC2"/>
        <w:rPr>
          <w:rFonts w:asciiTheme="minorHAnsi" w:eastAsiaTheme="minorEastAsia" w:hAnsiTheme="minorHAnsi" w:cstheme="minorBidi"/>
          <w:color w:val="auto"/>
          <w:sz w:val="22"/>
          <w:szCs w:val="22"/>
          <w:lang w:eastAsia="en-AU"/>
        </w:rPr>
      </w:pPr>
      <w:r w:rsidRPr="0022101E">
        <w:rPr>
          <w:rFonts w:eastAsia="Calibri"/>
        </w:rPr>
        <w:t>Plans to complete Year 12</w:t>
      </w:r>
      <w:r>
        <w:tab/>
      </w:r>
      <w:r w:rsidR="006F7B7D">
        <w:fldChar w:fldCharType="begin"/>
      </w:r>
      <w:r>
        <w:instrText xml:space="preserve"> PAGEREF _Toc380048245 \h </w:instrText>
      </w:r>
      <w:r w:rsidR="006F7B7D">
        <w:fldChar w:fldCharType="separate"/>
      </w:r>
      <w:r>
        <w:t>13</w:t>
      </w:r>
      <w:r w:rsidR="006F7B7D">
        <w:fldChar w:fldCharType="end"/>
      </w:r>
    </w:p>
    <w:p w:rsidR="00362315" w:rsidRDefault="00362315">
      <w:pPr>
        <w:pStyle w:val="TOC2"/>
        <w:rPr>
          <w:rFonts w:asciiTheme="minorHAnsi" w:eastAsiaTheme="minorEastAsia" w:hAnsiTheme="minorHAnsi" w:cstheme="minorBidi"/>
          <w:color w:val="auto"/>
          <w:sz w:val="22"/>
          <w:szCs w:val="22"/>
          <w:lang w:eastAsia="en-AU"/>
        </w:rPr>
      </w:pPr>
      <w:r>
        <w:t>Plans to attend university</w:t>
      </w:r>
      <w:r>
        <w:tab/>
      </w:r>
      <w:r w:rsidR="006F7B7D">
        <w:fldChar w:fldCharType="begin"/>
      </w:r>
      <w:r>
        <w:instrText xml:space="preserve"> PAGEREF _Toc380048246 \h </w:instrText>
      </w:r>
      <w:r w:rsidR="006F7B7D">
        <w:fldChar w:fldCharType="separate"/>
      </w:r>
      <w:r>
        <w:t>17</w:t>
      </w:r>
      <w:r w:rsidR="006F7B7D">
        <w:fldChar w:fldCharType="end"/>
      </w:r>
    </w:p>
    <w:p w:rsidR="00362315" w:rsidRDefault="00362315">
      <w:pPr>
        <w:pStyle w:val="TOC2"/>
        <w:rPr>
          <w:rFonts w:asciiTheme="minorHAnsi" w:eastAsiaTheme="minorEastAsia" w:hAnsiTheme="minorHAnsi" w:cstheme="minorBidi"/>
          <w:color w:val="auto"/>
          <w:sz w:val="22"/>
          <w:szCs w:val="22"/>
          <w:lang w:eastAsia="en-AU"/>
        </w:rPr>
      </w:pPr>
      <w:r>
        <w:t>Occupational aspirations</w:t>
      </w:r>
      <w:r>
        <w:tab/>
      </w:r>
      <w:r w:rsidR="006F7B7D">
        <w:fldChar w:fldCharType="begin"/>
      </w:r>
      <w:r>
        <w:instrText xml:space="preserve"> PAGEREF _Toc380048247 \h </w:instrText>
      </w:r>
      <w:r w:rsidR="006F7B7D">
        <w:fldChar w:fldCharType="separate"/>
      </w:r>
      <w:r>
        <w:t>18</w:t>
      </w:r>
      <w:r w:rsidR="006F7B7D">
        <w:fldChar w:fldCharType="end"/>
      </w:r>
    </w:p>
    <w:p w:rsidR="00362315" w:rsidRDefault="00362315">
      <w:pPr>
        <w:pStyle w:val="TOC2"/>
        <w:rPr>
          <w:rFonts w:asciiTheme="minorHAnsi" w:eastAsiaTheme="minorEastAsia" w:hAnsiTheme="minorHAnsi" w:cstheme="minorBidi"/>
          <w:color w:val="auto"/>
          <w:sz w:val="22"/>
          <w:szCs w:val="22"/>
          <w:lang w:eastAsia="en-AU"/>
        </w:rPr>
      </w:pPr>
      <w:r>
        <w:t>Summary of findings</w:t>
      </w:r>
      <w:r>
        <w:tab/>
      </w:r>
      <w:r w:rsidR="006F7B7D">
        <w:fldChar w:fldCharType="begin"/>
      </w:r>
      <w:r>
        <w:instrText xml:space="preserve"> PAGEREF _Toc380048248 \h </w:instrText>
      </w:r>
      <w:r w:rsidR="006F7B7D">
        <w:fldChar w:fldCharType="separate"/>
      </w:r>
      <w:r>
        <w:t>20</w:t>
      </w:r>
      <w:r w:rsidR="006F7B7D">
        <w:fldChar w:fldCharType="end"/>
      </w:r>
    </w:p>
    <w:p w:rsidR="00362315" w:rsidRDefault="00362315">
      <w:pPr>
        <w:pStyle w:val="TOC1"/>
        <w:rPr>
          <w:rFonts w:asciiTheme="minorHAnsi" w:eastAsiaTheme="minorEastAsia" w:hAnsiTheme="minorHAnsi" w:cstheme="minorBidi"/>
          <w:color w:val="auto"/>
          <w:sz w:val="22"/>
          <w:szCs w:val="22"/>
          <w:lang w:eastAsia="en-AU"/>
        </w:rPr>
      </w:pPr>
      <w:r>
        <w:t>Aspirations or delusions?</w:t>
      </w:r>
      <w:r>
        <w:tab/>
      </w:r>
      <w:r w:rsidR="006F7B7D">
        <w:fldChar w:fldCharType="begin"/>
      </w:r>
      <w:r>
        <w:instrText xml:space="preserve"> PAGEREF _Toc380048249 \h </w:instrText>
      </w:r>
      <w:r w:rsidR="006F7B7D">
        <w:fldChar w:fldCharType="separate"/>
      </w:r>
      <w:r>
        <w:t>22</w:t>
      </w:r>
      <w:r w:rsidR="006F7B7D">
        <w:fldChar w:fldCharType="end"/>
      </w:r>
    </w:p>
    <w:p w:rsidR="00362315" w:rsidRDefault="00362315">
      <w:pPr>
        <w:pStyle w:val="TOC2"/>
        <w:rPr>
          <w:rFonts w:asciiTheme="minorHAnsi" w:eastAsiaTheme="minorEastAsia" w:hAnsiTheme="minorHAnsi" w:cstheme="minorBidi"/>
          <w:color w:val="auto"/>
          <w:sz w:val="22"/>
          <w:szCs w:val="22"/>
          <w:lang w:eastAsia="en-AU"/>
        </w:rPr>
      </w:pPr>
      <w:r>
        <w:t>What types of jobs do young people aspire to?</w:t>
      </w:r>
      <w:r>
        <w:tab/>
      </w:r>
      <w:r w:rsidR="006F7B7D">
        <w:fldChar w:fldCharType="begin"/>
      </w:r>
      <w:r>
        <w:instrText xml:space="preserve"> PAGEREF _Toc380048250 \h </w:instrText>
      </w:r>
      <w:r w:rsidR="006F7B7D">
        <w:fldChar w:fldCharType="separate"/>
      </w:r>
      <w:r>
        <w:t>22</w:t>
      </w:r>
      <w:r w:rsidR="006F7B7D">
        <w:fldChar w:fldCharType="end"/>
      </w:r>
    </w:p>
    <w:p w:rsidR="00362315" w:rsidRDefault="00362315">
      <w:pPr>
        <w:pStyle w:val="TOC2"/>
        <w:rPr>
          <w:rFonts w:asciiTheme="minorHAnsi" w:eastAsiaTheme="minorEastAsia" w:hAnsiTheme="minorHAnsi" w:cstheme="minorBidi"/>
          <w:color w:val="auto"/>
          <w:sz w:val="22"/>
          <w:szCs w:val="22"/>
          <w:lang w:eastAsia="en-AU"/>
        </w:rPr>
      </w:pPr>
      <w:r w:rsidRPr="0022101E">
        <w:rPr>
          <w:rFonts w:eastAsia="Calibri"/>
        </w:rPr>
        <w:t>Do young people achieve their aspirations?</w:t>
      </w:r>
      <w:r>
        <w:tab/>
      </w:r>
      <w:r w:rsidR="006F7B7D">
        <w:fldChar w:fldCharType="begin"/>
      </w:r>
      <w:r>
        <w:instrText xml:space="preserve"> PAGEREF _Toc380048251 \h </w:instrText>
      </w:r>
      <w:r w:rsidR="006F7B7D">
        <w:fldChar w:fldCharType="separate"/>
      </w:r>
      <w:r>
        <w:t>25</w:t>
      </w:r>
      <w:r w:rsidR="006F7B7D">
        <w:fldChar w:fldCharType="end"/>
      </w:r>
    </w:p>
    <w:p w:rsidR="00362315" w:rsidRDefault="00362315">
      <w:pPr>
        <w:pStyle w:val="TOC2"/>
        <w:rPr>
          <w:rFonts w:asciiTheme="minorHAnsi" w:eastAsiaTheme="minorEastAsia" w:hAnsiTheme="minorHAnsi" w:cstheme="minorBidi"/>
          <w:color w:val="auto"/>
          <w:sz w:val="22"/>
          <w:szCs w:val="22"/>
          <w:lang w:eastAsia="en-AU"/>
        </w:rPr>
      </w:pPr>
      <w:r w:rsidRPr="0022101E">
        <w:rPr>
          <w:rFonts w:eastAsia="Calibri"/>
        </w:rPr>
        <w:t>Who ends up in which jobs?</w:t>
      </w:r>
      <w:r>
        <w:tab/>
      </w:r>
      <w:r w:rsidR="006F7B7D">
        <w:fldChar w:fldCharType="begin"/>
      </w:r>
      <w:r>
        <w:instrText xml:space="preserve"> PAGEREF _Toc380048252 \h </w:instrText>
      </w:r>
      <w:r w:rsidR="006F7B7D">
        <w:fldChar w:fldCharType="separate"/>
      </w:r>
      <w:r>
        <w:t>27</w:t>
      </w:r>
      <w:r w:rsidR="006F7B7D">
        <w:fldChar w:fldCharType="end"/>
      </w:r>
    </w:p>
    <w:p w:rsidR="00362315" w:rsidRDefault="00362315">
      <w:pPr>
        <w:pStyle w:val="TOC2"/>
        <w:rPr>
          <w:rFonts w:asciiTheme="minorHAnsi" w:eastAsiaTheme="minorEastAsia" w:hAnsiTheme="minorHAnsi" w:cstheme="minorBidi"/>
          <w:color w:val="auto"/>
          <w:sz w:val="22"/>
          <w:szCs w:val="22"/>
          <w:lang w:eastAsia="en-AU"/>
        </w:rPr>
      </w:pPr>
      <w:r>
        <w:t>Limitations</w:t>
      </w:r>
      <w:r>
        <w:tab/>
      </w:r>
      <w:r w:rsidR="006F7B7D">
        <w:fldChar w:fldCharType="begin"/>
      </w:r>
      <w:r>
        <w:instrText xml:space="preserve"> PAGEREF _Toc380048253 \h </w:instrText>
      </w:r>
      <w:r w:rsidR="006F7B7D">
        <w:fldChar w:fldCharType="separate"/>
      </w:r>
      <w:r>
        <w:t>28</w:t>
      </w:r>
      <w:r w:rsidR="006F7B7D">
        <w:fldChar w:fldCharType="end"/>
      </w:r>
    </w:p>
    <w:p w:rsidR="00362315" w:rsidRDefault="00362315">
      <w:pPr>
        <w:pStyle w:val="TOC1"/>
        <w:rPr>
          <w:rFonts w:asciiTheme="minorHAnsi" w:eastAsiaTheme="minorEastAsia" w:hAnsiTheme="minorHAnsi" w:cstheme="minorBidi"/>
          <w:color w:val="auto"/>
          <w:sz w:val="22"/>
          <w:szCs w:val="22"/>
          <w:lang w:eastAsia="en-AU"/>
        </w:rPr>
      </w:pPr>
      <w:r>
        <w:t>Conclusion</w:t>
      </w:r>
      <w:r>
        <w:tab/>
      </w:r>
      <w:r w:rsidR="006F7B7D">
        <w:fldChar w:fldCharType="begin"/>
      </w:r>
      <w:r>
        <w:instrText xml:space="preserve"> PAGEREF _Toc380048254 \h </w:instrText>
      </w:r>
      <w:r w:rsidR="006F7B7D">
        <w:fldChar w:fldCharType="separate"/>
      </w:r>
      <w:r>
        <w:t>30</w:t>
      </w:r>
      <w:r w:rsidR="006F7B7D">
        <w:fldChar w:fldCharType="end"/>
      </w:r>
    </w:p>
    <w:p w:rsidR="00362315" w:rsidRDefault="00362315">
      <w:pPr>
        <w:pStyle w:val="TOC1"/>
        <w:rPr>
          <w:rFonts w:asciiTheme="minorHAnsi" w:eastAsiaTheme="minorEastAsia" w:hAnsiTheme="minorHAnsi" w:cstheme="minorBidi"/>
          <w:color w:val="auto"/>
          <w:sz w:val="22"/>
          <w:szCs w:val="22"/>
          <w:lang w:eastAsia="en-AU"/>
        </w:rPr>
      </w:pPr>
      <w:r>
        <w:t>References</w:t>
      </w:r>
      <w:r>
        <w:tab/>
      </w:r>
      <w:r w:rsidR="006F7B7D">
        <w:fldChar w:fldCharType="begin"/>
      </w:r>
      <w:r>
        <w:instrText xml:space="preserve"> PAGEREF _Toc380048255 \h </w:instrText>
      </w:r>
      <w:r w:rsidR="006F7B7D">
        <w:fldChar w:fldCharType="separate"/>
      </w:r>
      <w:r>
        <w:t>31</w:t>
      </w:r>
      <w:r w:rsidR="006F7B7D">
        <w:fldChar w:fldCharType="end"/>
      </w:r>
    </w:p>
    <w:p w:rsidR="004E7227" w:rsidRDefault="006F7B7D"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7" w:name="_Toc350516295"/>
      <w:bookmarkStart w:id="28" w:name="_Toc380048236"/>
      <w:r>
        <w:lastRenderedPageBreak/>
        <w:t>Tables and figures</w:t>
      </w:r>
      <w:bookmarkEnd w:id="27"/>
      <w:bookmarkEnd w:id="28"/>
    </w:p>
    <w:p w:rsidR="004E7227" w:rsidRDefault="004E7227" w:rsidP="004E7227">
      <w:pPr>
        <w:pStyle w:val="Heading2"/>
      </w:pPr>
      <w:bookmarkStart w:id="29" w:name="_Toc296497516"/>
      <w:bookmarkStart w:id="30" w:name="_Toc298162801"/>
      <w:bookmarkStart w:id="31" w:name="_Toc350516296"/>
      <w:bookmarkStart w:id="32" w:name="_Toc377396954"/>
      <w:bookmarkStart w:id="33" w:name="_Toc380048237"/>
      <w:r>
        <w:t>Tables</w:t>
      </w:r>
      <w:bookmarkEnd w:id="29"/>
      <w:bookmarkEnd w:id="30"/>
      <w:bookmarkEnd w:id="31"/>
      <w:bookmarkEnd w:id="32"/>
      <w:bookmarkEnd w:id="33"/>
    </w:p>
    <w:p w:rsidR="00354528" w:rsidRDefault="006F7B7D">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354528">
        <w:t>1</w:t>
      </w:r>
      <w:r w:rsidR="00354528">
        <w:rPr>
          <w:rFonts w:asciiTheme="minorHAnsi" w:eastAsiaTheme="minorEastAsia" w:hAnsiTheme="minorHAnsi" w:cstheme="minorBidi"/>
          <w:color w:val="auto"/>
          <w:sz w:val="22"/>
          <w:szCs w:val="22"/>
          <w:lang w:eastAsia="en-AU"/>
        </w:rPr>
        <w:tab/>
      </w:r>
      <w:r w:rsidR="00354528">
        <w:t>Frequency distribution for plans to complete Year 12 (unweighted)</w:t>
      </w:r>
      <w:r w:rsidR="00354528">
        <w:tab/>
      </w:r>
      <w:r>
        <w:fldChar w:fldCharType="begin"/>
      </w:r>
      <w:r w:rsidR="00354528">
        <w:instrText xml:space="preserve"> PAGEREF _Toc377396978 \h </w:instrText>
      </w:r>
      <w:r>
        <w:fldChar w:fldCharType="separate"/>
      </w:r>
      <w:r w:rsidR="00362315">
        <w:t>9</w:t>
      </w:r>
      <w:r>
        <w:fldChar w:fldCharType="end"/>
      </w:r>
    </w:p>
    <w:p w:rsidR="00354528" w:rsidRDefault="00354528">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Frequency distribution for aspiring to attend university (unweighted)</w:t>
      </w:r>
      <w:r>
        <w:tab/>
      </w:r>
      <w:r w:rsidR="006F7B7D">
        <w:fldChar w:fldCharType="begin"/>
      </w:r>
      <w:r>
        <w:instrText xml:space="preserve"> PAGEREF _Toc377396979 \h </w:instrText>
      </w:r>
      <w:r w:rsidR="006F7B7D">
        <w:fldChar w:fldCharType="separate"/>
      </w:r>
      <w:r w:rsidR="00362315">
        <w:t>10</w:t>
      </w:r>
      <w:r w:rsidR="006F7B7D">
        <w:fldChar w:fldCharType="end"/>
      </w:r>
    </w:p>
    <w:p w:rsidR="00354528" w:rsidRDefault="00354528">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Examples of AUSEI06 occupational status scores</w:t>
      </w:r>
      <w:r>
        <w:tab/>
      </w:r>
      <w:r w:rsidR="006F7B7D">
        <w:fldChar w:fldCharType="begin"/>
      </w:r>
      <w:r>
        <w:instrText xml:space="preserve"> PAGEREF _Toc377396980 \h </w:instrText>
      </w:r>
      <w:r w:rsidR="006F7B7D">
        <w:fldChar w:fldCharType="separate"/>
      </w:r>
      <w:r w:rsidR="00362315">
        <w:t>10</w:t>
      </w:r>
      <w:r w:rsidR="006F7B7D">
        <w:fldChar w:fldCharType="end"/>
      </w:r>
    </w:p>
    <w:p w:rsidR="00354528" w:rsidRDefault="00354528">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Descriptive statistics for occupational aspirations (unweighted)</w:t>
      </w:r>
      <w:r>
        <w:tab/>
      </w:r>
      <w:r w:rsidR="006F7B7D">
        <w:fldChar w:fldCharType="begin"/>
      </w:r>
      <w:r>
        <w:instrText xml:space="preserve"> PAGEREF _Toc377396981 \h </w:instrText>
      </w:r>
      <w:r w:rsidR="006F7B7D">
        <w:fldChar w:fldCharType="separate"/>
      </w:r>
      <w:r w:rsidR="00362315">
        <w:t>10</w:t>
      </w:r>
      <w:r w:rsidR="006F7B7D">
        <w:fldChar w:fldCharType="end"/>
      </w:r>
    </w:p>
    <w:p w:rsidR="00354528" w:rsidRDefault="00354528">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rsidRPr="0007089B">
        <w:rPr>
          <w:rFonts w:eastAsia="Calibri"/>
        </w:rPr>
        <w:t>Logistic regression results for planning to complete Year 12</w:t>
      </w:r>
      <w:r>
        <w:tab/>
      </w:r>
      <w:r w:rsidR="006F7B7D">
        <w:fldChar w:fldCharType="begin"/>
      </w:r>
      <w:r>
        <w:instrText xml:space="preserve"> PAGEREF _Toc377396982 \h </w:instrText>
      </w:r>
      <w:r w:rsidR="006F7B7D">
        <w:fldChar w:fldCharType="separate"/>
      </w:r>
      <w:r w:rsidR="00362315">
        <w:t>14</w:t>
      </w:r>
      <w:r w:rsidR="006F7B7D">
        <w:fldChar w:fldCharType="end"/>
      </w:r>
    </w:p>
    <w:p w:rsidR="00354528" w:rsidRDefault="00354528">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rsidRPr="0007089B">
        <w:rPr>
          <w:rFonts w:eastAsia="Calibri"/>
        </w:rPr>
        <w:t>Logistic regression results for planning to attend university</w:t>
      </w:r>
      <w:r>
        <w:tab/>
      </w:r>
      <w:r w:rsidR="006F7B7D">
        <w:fldChar w:fldCharType="begin"/>
      </w:r>
      <w:r>
        <w:instrText xml:space="preserve"> PAGEREF _Toc377396983 \h </w:instrText>
      </w:r>
      <w:r w:rsidR="006F7B7D">
        <w:fldChar w:fldCharType="separate"/>
      </w:r>
      <w:r w:rsidR="00362315">
        <w:t>17</w:t>
      </w:r>
      <w:r w:rsidR="006F7B7D">
        <w:fldChar w:fldCharType="end"/>
      </w:r>
    </w:p>
    <w:p w:rsidR="00354528" w:rsidRDefault="00354528">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OLS r</w:t>
      </w:r>
      <w:r w:rsidRPr="0007089B">
        <w:rPr>
          <w:rFonts w:eastAsia="Calibri"/>
        </w:rPr>
        <w:t>egression results for occupational aspirations</w:t>
      </w:r>
      <w:r>
        <w:tab/>
      </w:r>
      <w:r w:rsidR="006F7B7D">
        <w:fldChar w:fldCharType="begin"/>
      </w:r>
      <w:r>
        <w:instrText xml:space="preserve"> PAGEREF _Toc377396984 \h </w:instrText>
      </w:r>
      <w:r w:rsidR="006F7B7D">
        <w:fldChar w:fldCharType="separate"/>
      </w:r>
      <w:r w:rsidR="00362315">
        <w:t>18</w:t>
      </w:r>
      <w:r w:rsidR="006F7B7D">
        <w:fldChar w:fldCharType="end"/>
      </w:r>
    </w:p>
    <w:p w:rsidR="00354528" w:rsidRDefault="00354528">
      <w:pPr>
        <w:pStyle w:val="TableofFigures"/>
        <w:tabs>
          <w:tab w:val="left" w:pos="880"/>
        </w:tabs>
        <w:rPr>
          <w:rFonts w:asciiTheme="minorHAnsi" w:eastAsiaTheme="minorEastAsia" w:hAnsiTheme="minorHAnsi" w:cstheme="minorBidi"/>
          <w:color w:val="auto"/>
          <w:sz w:val="22"/>
          <w:szCs w:val="22"/>
          <w:lang w:eastAsia="en-AU"/>
        </w:rPr>
      </w:pPr>
      <w:r w:rsidRPr="0007089B">
        <w:rPr>
          <w:rFonts w:eastAsia="Calibri"/>
        </w:rPr>
        <w:t>8</w:t>
      </w:r>
      <w:r>
        <w:rPr>
          <w:rFonts w:asciiTheme="minorHAnsi" w:eastAsiaTheme="minorEastAsia" w:hAnsiTheme="minorHAnsi" w:cstheme="minorBidi"/>
          <w:color w:val="auto"/>
          <w:sz w:val="22"/>
          <w:szCs w:val="22"/>
          <w:lang w:eastAsia="en-AU"/>
        </w:rPr>
        <w:tab/>
      </w:r>
      <w:r w:rsidRPr="0007089B">
        <w:rPr>
          <w:rFonts w:eastAsia="Calibri"/>
        </w:rPr>
        <w:t>Most popular job aspirations, LSAY 1998 cohort, age 15</w:t>
      </w:r>
      <w:r w:rsidR="00FA0A74">
        <w:rPr>
          <w:rFonts w:eastAsia="Calibri"/>
        </w:rPr>
        <w:t xml:space="preserve"> years</w:t>
      </w:r>
      <w:r w:rsidRPr="0007089B">
        <w:rPr>
          <w:rFonts w:eastAsia="Calibri"/>
        </w:rPr>
        <w:t>, males</w:t>
      </w:r>
      <w:r>
        <w:tab/>
      </w:r>
      <w:r w:rsidR="006F7B7D">
        <w:fldChar w:fldCharType="begin"/>
      </w:r>
      <w:r>
        <w:instrText xml:space="preserve"> PAGEREF _Toc377396985 \h </w:instrText>
      </w:r>
      <w:r w:rsidR="006F7B7D">
        <w:fldChar w:fldCharType="separate"/>
      </w:r>
      <w:r w:rsidR="00362315">
        <w:t>23</w:t>
      </w:r>
      <w:r w:rsidR="006F7B7D">
        <w:fldChar w:fldCharType="end"/>
      </w:r>
    </w:p>
    <w:p w:rsidR="00354528" w:rsidRDefault="00354528">
      <w:pPr>
        <w:pStyle w:val="TableofFigures"/>
        <w:tabs>
          <w:tab w:val="left" w:pos="880"/>
        </w:tabs>
        <w:rPr>
          <w:rFonts w:asciiTheme="minorHAnsi" w:eastAsiaTheme="minorEastAsia" w:hAnsiTheme="minorHAnsi" w:cstheme="minorBidi"/>
          <w:color w:val="auto"/>
          <w:sz w:val="22"/>
          <w:szCs w:val="22"/>
          <w:lang w:eastAsia="en-AU"/>
        </w:rPr>
      </w:pPr>
      <w:r w:rsidRPr="0007089B">
        <w:rPr>
          <w:rFonts w:eastAsia="Calibri"/>
        </w:rPr>
        <w:t>9</w:t>
      </w:r>
      <w:r>
        <w:rPr>
          <w:rFonts w:asciiTheme="minorHAnsi" w:eastAsiaTheme="minorEastAsia" w:hAnsiTheme="minorHAnsi" w:cstheme="minorBidi"/>
          <w:color w:val="auto"/>
          <w:sz w:val="22"/>
          <w:szCs w:val="22"/>
          <w:lang w:eastAsia="en-AU"/>
        </w:rPr>
        <w:tab/>
      </w:r>
      <w:r w:rsidRPr="0007089B">
        <w:rPr>
          <w:rFonts w:eastAsia="Calibri"/>
        </w:rPr>
        <w:t>Most popular job aspirations, LSAY 1998 cohort, age 15</w:t>
      </w:r>
      <w:r w:rsidR="00FA0A74">
        <w:rPr>
          <w:rFonts w:eastAsia="Calibri"/>
        </w:rPr>
        <w:t xml:space="preserve"> years</w:t>
      </w:r>
      <w:r w:rsidRPr="0007089B">
        <w:rPr>
          <w:rFonts w:eastAsia="Calibri"/>
        </w:rPr>
        <w:t>, females</w:t>
      </w:r>
      <w:r>
        <w:tab/>
      </w:r>
      <w:r w:rsidR="006F7B7D">
        <w:fldChar w:fldCharType="begin"/>
      </w:r>
      <w:r>
        <w:instrText xml:space="preserve"> PAGEREF _Toc377396986 \h </w:instrText>
      </w:r>
      <w:r w:rsidR="006F7B7D">
        <w:fldChar w:fldCharType="separate"/>
      </w:r>
      <w:r w:rsidR="00362315">
        <w:t>23</w:t>
      </w:r>
      <w:r w:rsidR="006F7B7D">
        <w:fldChar w:fldCharType="end"/>
      </w:r>
    </w:p>
    <w:p w:rsidR="00354528" w:rsidRDefault="00354528">
      <w:pPr>
        <w:pStyle w:val="TableofFigures"/>
        <w:tabs>
          <w:tab w:val="left" w:pos="1100"/>
        </w:tabs>
        <w:rPr>
          <w:rFonts w:asciiTheme="minorHAnsi" w:eastAsiaTheme="minorEastAsia" w:hAnsiTheme="minorHAnsi" w:cstheme="minorBidi"/>
          <w:color w:val="auto"/>
          <w:sz w:val="22"/>
          <w:szCs w:val="22"/>
          <w:lang w:eastAsia="en-AU"/>
        </w:rPr>
      </w:pPr>
      <w:r w:rsidRPr="0007089B">
        <w:rPr>
          <w:rFonts w:eastAsia="Calibri"/>
        </w:rPr>
        <w:t>10</w:t>
      </w:r>
      <w:r>
        <w:rPr>
          <w:rFonts w:asciiTheme="minorHAnsi" w:eastAsiaTheme="minorEastAsia" w:hAnsiTheme="minorHAnsi" w:cstheme="minorBidi"/>
          <w:color w:val="auto"/>
          <w:sz w:val="22"/>
          <w:szCs w:val="22"/>
          <w:lang w:eastAsia="en-AU"/>
        </w:rPr>
        <w:tab/>
      </w:r>
      <w:r w:rsidRPr="0007089B">
        <w:rPr>
          <w:rFonts w:eastAsia="Calibri"/>
        </w:rPr>
        <w:t>Most common jobs held at age 25</w:t>
      </w:r>
      <w:r w:rsidR="00FA0A74">
        <w:rPr>
          <w:rFonts w:eastAsia="Calibri"/>
        </w:rPr>
        <w:t xml:space="preserve"> years</w:t>
      </w:r>
      <w:r w:rsidRPr="0007089B">
        <w:rPr>
          <w:rFonts w:eastAsia="Calibri"/>
        </w:rPr>
        <w:t>, LSAY 1998 cohort, males</w:t>
      </w:r>
      <w:r>
        <w:tab/>
      </w:r>
      <w:r w:rsidR="006F7B7D">
        <w:fldChar w:fldCharType="begin"/>
      </w:r>
      <w:r>
        <w:instrText xml:space="preserve"> PAGEREF _Toc377396987 \h </w:instrText>
      </w:r>
      <w:r w:rsidR="006F7B7D">
        <w:fldChar w:fldCharType="separate"/>
      </w:r>
      <w:r w:rsidR="00362315">
        <w:t>24</w:t>
      </w:r>
      <w:r w:rsidR="006F7B7D">
        <w:fldChar w:fldCharType="end"/>
      </w:r>
    </w:p>
    <w:p w:rsidR="00354528" w:rsidRDefault="00354528">
      <w:pPr>
        <w:pStyle w:val="TableofFigures"/>
        <w:tabs>
          <w:tab w:val="left" w:pos="1100"/>
        </w:tabs>
        <w:rPr>
          <w:rFonts w:asciiTheme="minorHAnsi" w:eastAsiaTheme="minorEastAsia" w:hAnsiTheme="minorHAnsi" w:cstheme="minorBidi"/>
          <w:color w:val="auto"/>
          <w:sz w:val="22"/>
          <w:szCs w:val="22"/>
          <w:lang w:eastAsia="en-AU"/>
        </w:rPr>
      </w:pPr>
      <w:r w:rsidRPr="0007089B">
        <w:rPr>
          <w:rFonts w:eastAsia="Calibri"/>
        </w:rPr>
        <w:t>11</w:t>
      </w:r>
      <w:r>
        <w:rPr>
          <w:rFonts w:asciiTheme="minorHAnsi" w:eastAsiaTheme="minorEastAsia" w:hAnsiTheme="minorHAnsi" w:cstheme="minorBidi"/>
          <w:color w:val="auto"/>
          <w:sz w:val="22"/>
          <w:szCs w:val="22"/>
          <w:lang w:eastAsia="en-AU"/>
        </w:rPr>
        <w:tab/>
      </w:r>
      <w:r w:rsidRPr="0007089B">
        <w:rPr>
          <w:rFonts w:eastAsia="Calibri"/>
        </w:rPr>
        <w:t>Most common jobs held at age 25</w:t>
      </w:r>
      <w:r w:rsidR="00FA0A74">
        <w:rPr>
          <w:rFonts w:eastAsia="Calibri"/>
        </w:rPr>
        <w:t xml:space="preserve"> years</w:t>
      </w:r>
      <w:r w:rsidRPr="0007089B">
        <w:rPr>
          <w:rFonts w:eastAsia="Calibri"/>
        </w:rPr>
        <w:t>, LSAY 1998 cohort, females</w:t>
      </w:r>
      <w:r>
        <w:tab/>
      </w:r>
      <w:r w:rsidR="006F7B7D">
        <w:fldChar w:fldCharType="begin"/>
      </w:r>
      <w:r>
        <w:instrText xml:space="preserve"> PAGEREF _Toc377396988 \h </w:instrText>
      </w:r>
      <w:r w:rsidR="006F7B7D">
        <w:fldChar w:fldCharType="separate"/>
      </w:r>
      <w:r w:rsidR="00362315">
        <w:t>24</w:t>
      </w:r>
      <w:r w:rsidR="006F7B7D">
        <w:fldChar w:fldCharType="end"/>
      </w:r>
    </w:p>
    <w:p w:rsidR="00354528" w:rsidRDefault="00354528">
      <w:pPr>
        <w:pStyle w:val="TableofFigures"/>
        <w:tabs>
          <w:tab w:val="left" w:pos="1100"/>
        </w:tabs>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Selected occupations according to the ANU4 occupational scale</w:t>
      </w:r>
      <w:r>
        <w:tab/>
      </w:r>
      <w:r w:rsidR="006F7B7D">
        <w:fldChar w:fldCharType="begin"/>
      </w:r>
      <w:r>
        <w:instrText xml:space="preserve"> PAGEREF _Toc377396989 \h </w:instrText>
      </w:r>
      <w:r w:rsidR="006F7B7D">
        <w:fldChar w:fldCharType="separate"/>
      </w:r>
      <w:r w:rsidR="00362315">
        <w:t>26</w:t>
      </w:r>
      <w:r w:rsidR="006F7B7D">
        <w:fldChar w:fldCharType="end"/>
      </w:r>
    </w:p>
    <w:p w:rsidR="00354528" w:rsidRDefault="00354528">
      <w:pPr>
        <w:pStyle w:val="TableofFigures"/>
        <w:tabs>
          <w:tab w:val="left" w:pos="1100"/>
        </w:tabs>
        <w:rPr>
          <w:rFonts w:asciiTheme="minorHAnsi" w:eastAsiaTheme="minorEastAsia" w:hAnsiTheme="minorHAnsi" w:cstheme="minorBidi"/>
          <w:color w:val="auto"/>
          <w:sz w:val="22"/>
          <w:szCs w:val="22"/>
          <w:lang w:eastAsia="en-AU"/>
        </w:rPr>
      </w:pPr>
      <w:r w:rsidRPr="0007089B">
        <w:rPr>
          <w:rFonts w:eastAsia="Calibri"/>
        </w:rPr>
        <w:t>13</w:t>
      </w:r>
      <w:r>
        <w:rPr>
          <w:rFonts w:asciiTheme="minorHAnsi" w:eastAsiaTheme="minorEastAsia" w:hAnsiTheme="minorHAnsi" w:cstheme="minorBidi"/>
          <w:color w:val="auto"/>
          <w:sz w:val="22"/>
          <w:szCs w:val="22"/>
          <w:lang w:eastAsia="en-AU"/>
        </w:rPr>
        <w:tab/>
      </w:r>
      <w:r w:rsidRPr="0007089B">
        <w:rPr>
          <w:rFonts w:eastAsia="Calibri"/>
        </w:rPr>
        <w:t>Occupational outcomes at age 25 years classified by occupational aspirations at age 15 years, males</w:t>
      </w:r>
      <w:r>
        <w:tab/>
      </w:r>
      <w:r w:rsidR="006F7B7D">
        <w:fldChar w:fldCharType="begin"/>
      </w:r>
      <w:r>
        <w:instrText xml:space="preserve"> PAGEREF _Toc377396990 \h </w:instrText>
      </w:r>
      <w:r w:rsidR="006F7B7D">
        <w:fldChar w:fldCharType="separate"/>
      </w:r>
      <w:r w:rsidR="00362315">
        <w:t>28</w:t>
      </w:r>
      <w:r w:rsidR="006F7B7D">
        <w:fldChar w:fldCharType="end"/>
      </w:r>
    </w:p>
    <w:p w:rsidR="00354528" w:rsidRDefault="00354528">
      <w:pPr>
        <w:pStyle w:val="TableofFigures"/>
        <w:tabs>
          <w:tab w:val="left" w:pos="1100"/>
        </w:tabs>
        <w:rPr>
          <w:rFonts w:asciiTheme="minorHAnsi" w:eastAsiaTheme="minorEastAsia" w:hAnsiTheme="minorHAnsi" w:cstheme="minorBidi"/>
          <w:color w:val="auto"/>
          <w:sz w:val="22"/>
          <w:szCs w:val="22"/>
          <w:lang w:eastAsia="en-AU"/>
        </w:rPr>
      </w:pPr>
      <w:r w:rsidRPr="0007089B">
        <w:rPr>
          <w:rFonts w:eastAsia="Calibri"/>
        </w:rPr>
        <w:t>14</w:t>
      </w:r>
      <w:r>
        <w:rPr>
          <w:rFonts w:asciiTheme="minorHAnsi" w:eastAsiaTheme="minorEastAsia" w:hAnsiTheme="minorHAnsi" w:cstheme="minorBidi"/>
          <w:color w:val="auto"/>
          <w:sz w:val="22"/>
          <w:szCs w:val="22"/>
          <w:lang w:eastAsia="en-AU"/>
        </w:rPr>
        <w:tab/>
      </w:r>
      <w:r w:rsidRPr="0007089B">
        <w:rPr>
          <w:rFonts w:eastAsia="Calibri"/>
        </w:rPr>
        <w:t>Occupational outcomes at age 25 years classified by occupational aspirations at age 15 years, females</w:t>
      </w:r>
      <w:r>
        <w:tab/>
      </w:r>
      <w:r w:rsidR="006F7B7D">
        <w:fldChar w:fldCharType="begin"/>
      </w:r>
      <w:r>
        <w:instrText xml:space="preserve"> PAGEREF _Toc377396991 \h </w:instrText>
      </w:r>
      <w:r w:rsidR="006F7B7D">
        <w:fldChar w:fldCharType="separate"/>
      </w:r>
      <w:r w:rsidR="00362315">
        <w:t>28</w:t>
      </w:r>
      <w:r w:rsidR="006F7B7D">
        <w:fldChar w:fldCharType="end"/>
      </w:r>
    </w:p>
    <w:p w:rsidR="00354528" w:rsidRDefault="006F7B7D" w:rsidP="004E7227">
      <w:pPr>
        <w:pStyle w:val="Heading2"/>
        <w:rPr>
          <w:noProof/>
        </w:rPr>
      </w:pPr>
      <w:r>
        <w:fldChar w:fldCharType="end"/>
      </w:r>
      <w:bookmarkStart w:id="34" w:name="_Toc296497517"/>
      <w:bookmarkStart w:id="35" w:name="_Toc298162802"/>
      <w:bookmarkStart w:id="36" w:name="_Toc350516297"/>
      <w:bookmarkStart w:id="37" w:name="_Toc377396955"/>
      <w:bookmarkStart w:id="38" w:name="_Toc380048238"/>
      <w:r w:rsidR="004E7227">
        <w:t>Figures</w:t>
      </w:r>
      <w:bookmarkEnd w:id="34"/>
      <w:bookmarkEnd w:id="35"/>
      <w:bookmarkEnd w:id="36"/>
      <w:bookmarkEnd w:id="37"/>
      <w:bookmarkEnd w:id="38"/>
      <w:r>
        <w:rPr>
          <w:rFonts w:ascii="Garamond" w:hAnsi="Garamond"/>
          <w:sz w:val="22"/>
        </w:rPr>
        <w:fldChar w:fldCharType="begin"/>
      </w:r>
      <w:r w:rsidR="004E7227">
        <w:instrText xml:space="preserve"> TOC \t "Figuretitle" \c </w:instrText>
      </w:r>
      <w:r>
        <w:rPr>
          <w:rFonts w:ascii="Garamond" w:hAnsi="Garamond"/>
          <w:sz w:val="22"/>
        </w:rPr>
        <w:fldChar w:fldCharType="separate"/>
      </w:r>
    </w:p>
    <w:p w:rsidR="00354528" w:rsidRDefault="00354528">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Tree diagram for Year 12 plans</w:t>
      </w:r>
      <w:r>
        <w:tab/>
      </w:r>
      <w:r w:rsidR="006F7B7D">
        <w:fldChar w:fldCharType="begin"/>
      </w:r>
      <w:r>
        <w:instrText xml:space="preserve"> PAGEREF _Toc377396992 \h </w:instrText>
      </w:r>
      <w:r w:rsidR="006F7B7D">
        <w:fldChar w:fldCharType="separate"/>
      </w:r>
      <w:r w:rsidR="00362315">
        <w:t>16</w:t>
      </w:r>
      <w:r w:rsidR="006F7B7D">
        <w:fldChar w:fldCharType="end"/>
      </w:r>
    </w:p>
    <w:p w:rsidR="00354528" w:rsidRDefault="00354528">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Tree diagram for university plans</w:t>
      </w:r>
      <w:r>
        <w:tab/>
      </w:r>
      <w:r w:rsidR="006F7B7D">
        <w:fldChar w:fldCharType="begin"/>
      </w:r>
      <w:r>
        <w:instrText xml:space="preserve"> PAGEREF _Toc377396993 \h </w:instrText>
      </w:r>
      <w:r w:rsidR="006F7B7D">
        <w:fldChar w:fldCharType="separate"/>
      </w:r>
      <w:r w:rsidR="00362315">
        <w:t>19</w:t>
      </w:r>
      <w:r w:rsidR="006F7B7D">
        <w:fldChar w:fldCharType="end"/>
      </w:r>
    </w:p>
    <w:p w:rsidR="00354528" w:rsidRDefault="00354528">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Tree diagram for occupational aspirations</w:t>
      </w:r>
      <w:r>
        <w:tab/>
      </w:r>
      <w:r w:rsidR="006F7B7D">
        <w:fldChar w:fldCharType="begin"/>
      </w:r>
      <w:r>
        <w:instrText xml:space="preserve"> PAGEREF _Toc377396994 \h </w:instrText>
      </w:r>
      <w:r w:rsidR="006F7B7D">
        <w:fldChar w:fldCharType="separate"/>
      </w:r>
      <w:r w:rsidR="00362315">
        <w:t>21</w:t>
      </w:r>
      <w:r w:rsidR="006F7B7D">
        <w:fldChar w:fldCharType="end"/>
      </w:r>
    </w:p>
    <w:p w:rsidR="00354528" w:rsidRDefault="00354528">
      <w:pPr>
        <w:pStyle w:val="TableofFigures"/>
        <w:tabs>
          <w:tab w:val="left" w:pos="1100"/>
        </w:tabs>
        <w:rPr>
          <w:rFonts w:asciiTheme="minorHAnsi" w:eastAsiaTheme="minorEastAsia" w:hAnsiTheme="minorHAnsi" w:cstheme="minorBidi"/>
          <w:color w:val="auto"/>
          <w:sz w:val="22"/>
          <w:szCs w:val="22"/>
          <w:lang w:eastAsia="en-AU"/>
        </w:rPr>
      </w:pPr>
      <w:r w:rsidRPr="00F34EB9">
        <w:rPr>
          <w:rFonts w:eastAsia="Calibri"/>
        </w:rPr>
        <w:t>4</w:t>
      </w:r>
      <w:r>
        <w:rPr>
          <w:rFonts w:asciiTheme="minorHAnsi" w:eastAsiaTheme="minorEastAsia" w:hAnsiTheme="minorHAnsi" w:cstheme="minorBidi"/>
          <w:color w:val="auto"/>
          <w:sz w:val="22"/>
          <w:szCs w:val="22"/>
          <w:lang w:eastAsia="en-AU"/>
        </w:rPr>
        <w:tab/>
      </w:r>
      <w:r w:rsidRPr="00F34EB9">
        <w:rPr>
          <w:rFonts w:eastAsia="Calibri"/>
        </w:rPr>
        <w:t xml:space="preserve">Distribution of jobs aspired to versus distribution of jobs held </w:t>
      </w:r>
      <w:r>
        <w:rPr>
          <w:rFonts w:eastAsia="Calibri"/>
        </w:rPr>
        <w:br/>
      </w:r>
      <w:r w:rsidRPr="00F34EB9">
        <w:rPr>
          <w:rFonts w:eastAsia="Calibri"/>
        </w:rPr>
        <w:t>ten years later, males</w:t>
      </w:r>
      <w:r>
        <w:tab/>
      </w:r>
      <w:r w:rsidR="006F7B7D">
        <w:fldChar w:fldCharType="begin"/>
      </w:r>
      <w:r>
        <w:instrText xml:space="preserve"> PAGEREF _Toc377396995 \h </w:instrText>
      </w:r>
      <w:r w:rsidR="006F7B7D">
        <w:fldChar w:fldCharType="separate"/>
      </w:r>
      <w:r w:rsidR="00362315">
        <w:t>27</w:t>
      </w:r>
      <w:r w:rsidR="006F7B7D">
        <w:fldChar w:fldCharType="end"/>
      </w:r>
    </w:p>
    <w:p w:rsidR="00354528" w:rsidRDefault="00354528">
      <w:pPr>
        <w:pStyle w:val="TableofFigures"/>
        <w:tabs>
          <w:tab w:val="left" w:pos="1100"/>
        </w:tabs>
        <w:rPr>
          <w:rFonts w:asciiTheme="minorHAnsi" w:eastAsiaTheme="minorEastAsia" w:hAnsiTheme="minorHAnsi" w:cstheme="minorBidi"/>
          <w:color w:val="auto"/>
          <w:sz w:val="22"/>
          <w:szCs w:val="22"/>
          <w:lang w:eastAsia="en-AU"/>
        </w:rPr>
      </w:pPr>
      <w:r w:rsidRPr="00F34EB9">
        <w:rPr>
          <w:rFonts w:eastAsia="Calibri"/>
        </w:rPr>
        <w:t>5</w:t>
      </w:r>
      <w:r>
        <w:rPr>
          <w:rFonts w:asciiTheme="minorHAnsi" w:eastAsiaTheme="minorEastAsia" w:hAnsiTheme="minorHAnsi" w:cstheme="minorBidi"/>
          <w:color w:val="auto"/>
          <w:sz w:val="22"/>
          <w:szCs w:val="22"/>
          <w:lang w:eastAsia="en-AU"/>
        </w:rPr>
        <w:tab/>
      </w:r>
      <w:r w:rsidRPr="00F34EB9">
        <w:rPr>
          <w:rFonts w:eastAsia="Calibri"/>
        </w:rPr>
        <w:t xml:space="preserve">Distribution of jobs aspired to versus distribution of jobs held </w:t>
      </w:r>
      <w:r>
        <w:rPr>
          <w:rFonts w:eastAsia="Calibri"/>
        </w:rPr>
        <w:br/>
      </w:r>
      <w:r w:rsidRPr="00F34EB9">
        <w:rPr>
          <w:rFonts w:eastAsia="Calibri"/>
        </w:rPr>
        <w:t>ten years later, females</w:t>
      </w:r>
      <w:r>
        <w:tab/>
      </w:r>
      <w:r w:rsidR="006F7B7D">
        <w:fldChar w:fldCharType="begin"/>
      </w:r>
      <w:r>
        <w:instrText xml:space="preserve"> PAGEREF _Toc377396996 \h </w:instrText>
      </w:r>
      <w:r w:rsidR="006F7B7D">
        <w:fldChar w:fldCharType="separate"/>
      </w:r>
      <w:r w:rsidR="00362315">
        <w:t>27</w:t>
      </w:r>
      <w:r w:rsidR="006F7B7D">
        <w:fldChar w:fldCharType="end"/>
      </w:r>
    </w:p>
    <w:p w:rsidR="00A93867" w:rsidRPr="006A04E5" w:rsidRDefault="006F7B7D" w:rsidP="006A04E5">
      <w:pPr>
        <w:pStyle w:val="TableofFigures"/>
      </w:pPr>
      <w:r>
        <w:fldChar w:fldCharType="end"/>
      </w:r>
      <w:r w:rsidR="00A93867" w:rsidRPr="00A93867">
        <w:rPr>
          <w:b/>
        </w:rPr>
        <w:br w:type="page"/>
      </w:r>
    </w:p>
    <w:p w:rsidR="009E231A" w:rsidRPr="00B86D06" w:rsidRDefault="00FE4A2D" w:rsidP="008C0A74">
      <w:pPr>
        <w:pStyle w:val="Heading1"/>
      </w:pPr>
      <w:bookmarkStart w:id="39" w:name="_Toc380048239"/>
      <w:r w:rsidRPr="00B86D06">
        <w:lastRenderedPageBreak/>
        <w:t>Executive summary</w:t>
      </w:r>
      <w:bookmarkEnd w:id="39"/>
    </w:p>
    <w:p w:rsidR="00453D10" w:rsidRDefault="00453D10" w:rsidP="00453D10">
      <w:pPr>
        <w:pStyle w:val="Text"/>
        <w:rPr>
          <w:bCs/>
        </w:rPr>
      </w:pPr>
      <w:r>
        <w:rPr>
          <w:bCs/>
        </w:rPr>
        <w:t>Despite</w:t>
      </w:r>
      <w:r>
        <w:t xml:space="preserve"> strong evidence linking young people’s goals and ambitions to their longer-term education and work outcomes, the </w:t>
      </w:r>
      <w:r w:rsidR="00DA23A3">
        <w:rPr>
          <w:lang w:val="en-US"/>
        </w:rPr>
        <w:t>specific</w:t>
      </w:r>
      <w:r>
        <w:rPr>
          <w:lang w:val="en-US"/>
        </w:rPr>
        <w:t xml:space="preserve"> factors most strongly influenc</w:t>
      </w:r>
      <w:r w:rsidR="00FA0A74">
        <w:rPr>
          <w:lang w:val="en-US"/>
        </w:rPr>
        <w:t>ing</w:t>
      </w:r>
      <w:r>
        <w:rPr>
          <w:lang w:val="en-US"/>
        </w:rPr>
        <w:t xml:space="preserve"> </w:t>
      </w:r>
      <w:r>
        <w:t xml:space="preserve">aspirations are not well understood. </w:t>
      </w:r>
      <w:r w:rsidR="00DA23A3">
        <w:rPr>
          <w:bCs/>
        </w:rPr>
        <w:t>Although p</w:t>
      </w:r>
      <w:r>
        <w:rPr>
          <w:bCs/>
        </w:rPr>
        <w:t>rior research has identified a number of general factors that drive</w:t>
      </w:r>
      <w:r w:rsidRPr="00BF6B8E">
        <w:rPr>
          <w:bCs/>
        </w:rPr>
        <w:t xml:space="preserve"> young people’s </w:t>
      </w:r>
      <w:r>
        <w:rPr>
          <w:bCs/>
        </w:rPr>
        <w:t xml:space="preserve">educational and occupational </w:t>
      </w:r>
      <w:r w:rsidR="00035275">
        <w:rPr>
          <w:bCs/>
        </w:rPr>
        <w:t xml:space="preserve">aspirations, </w:t>
      </w:r>
      <w:r>
        <w:rPr>
          <w:bCs/>
        </w:rPr>
        <w:t>the important question from a policy perspective is which of these fact</w:t>
      </w:r>
      <w:r w:rsidR="00035275">
        <w:rPr>
          <w:bCs/>
        </w:rPr>
        <w:t>ors matter most and whether the</w:t>
      </w:r>
      <w:r w:rsidR="00DA23A3">
        <w:rPr>
          <w:bCs/>
        </w:rPr>
        <w:t>y</w:t>
      </w:r>
      <w:r>
        <w:rPr>
          <w:bCs/>
        </w:rPr>
        <w:t xml:space="preserve"> can be influenced by policy.</w:t>
      </w:r>
    </w:p>
    <w:p w:rsidR="00453D10" w:rsidRPr="00F23728" w:rsidRDefault="00453D10" w:rsidP="00453D10">
      <w:pPr>
        <w:pStyle w:val="Text"/>
      </w:pPr>
      <w:r w:rsidRPr="00F23728">
        <w:t>This study us</w:t>
      </w:r>
      <w:r>
        <w:t xml:space="preserve">es data from the 2009 </w:t>
      </w:r>
      <w:r w:rsidRPr="00F23728">
        <w:t>cohort of the Longitudinal Surveys of Australian Youth (LSAY)</w:t>
      </w:r>
      <w:r>
        <w:t xml:space="preserve"> to examine the </w:t>
      </w:r>
      <w:r w:rsidRPr="00F23728">
        <w:t xml:space="preserve">ways </w:t>
      </w:r>
      <w:r w:rsidR="00035275">
        <w:t>by</w:t>
      </w:r>
      <w:r w:rsidRPr="00F23728">
        <w:t xml:space="preserve"> which relevant background characteristics influence young people’s</w:t>
      </w:r>
      <w:r>
        <w:t>:</w:t>
      </w:r>
    </w:p>
    <w:p w:rsidR="00453D10" w:rsidRPr="00F23728" w:rsidRDefault="00453D10" w:rsidP="00453D10">
      <w:pPr>
        <w:pStyle w:val="Dotpoint1"/>
      </w:pPr>
      <w:r>
        <w:t>aspirations</w:t>
      </w:r>
      <w:r w:rsidRPr="00F23728">
        <w:t xml:space="preserve"> to complete Year 12</w:t>
      </w:r>
    </w:p>
    <w:p w:rsidR="00453D10" w:rsidRPr="00F23728" w:rsidRDefault="00453D10" w:rsidP="00453D10">
      <w:pPr>
        <w:pStyle w:val="Dotpoint1"/>
      </w:pPr>
      <w:r>
        <w:t>aspirations</w:t>
      </w:r>
      <w:r w:rsidRPr="00F23728">
        <w:t xml:space="preserve"> to commence university study in the firs</w:t>
      </w:r>
      <w:r w:rsidR="00035275">
        <w:t>t year after leaving school</w:t>
      </w:r>
    </w:p>
    <w:p w:rsidR="00453D10" w:rsidRDefault="00453D10" w:rsidP="00F30F22">
      <w:pPr>
        <w:pStyle w:val="Dotpoint1"/>
        <w:ind w:right="-1"/>
      </w:pPr>
      <w:r w:rsidRPr="00F23728">
        <w:t>oc</w:t>
      </w:r>
      <w:r>
        <w:t xml:space="preserve">cupational aspirations at age 15 </w:t>
      </w:r>
      <w:r w:rsidR="000C1409">
        <w:t xml:space="preserve">years </w:t>
      </w:r>
      <w:r w:rsidR="00035275">
        <w:t>vis-</w:t>
      </w:r>
      <w:r w:rsidR="000C1409">
        <w:t>à</w:t>
      </w:r>
      <w:r w:rsidR="00035275">
        <w:t>-vis</w:t>
      </w:r>
      <w:r>
        <w:t xml:space="preserve"> the kind of job they</w:t>
      </w:r>
      <w:r w:rsidRPr="00921C8F">
        <w:t xml:space="preserve"> expect to have </w:t>
      </w:r>
      <w:r>
        <w:t>at age 30</w:t>
      </w:r>
      <w:r w:rsidR="00F30F22">
        <w:t> </w:t>
      </w:r>
      <w:r w:rsidR="00035275">
        <w:t>years</w:t>
      </w:r>
      <w:r w:rsidRPr="00F23728">
        <w:t>.</w:t>
      </w:r>
    </w:p>
    <w:p w:rsidR="00453D10" w:rsidRPr="00F23728" w:rsidRDefault="00453D10" w:rsidP="00453D10">
      <w:pPr>
        <w:pStyle w:val="Text"/>
      </w:pPr>
      <w:r>
        <w:t xml:space="preserve">A variety of predictor variables are considered, including demographic </w:t>
      </w:r>
      <w:r w:rsidRPr="00F23728">
        <w:t>backgrou</w:t>
      </w:r>
      <w:r>
        <w:t>nd characteristics, parental and peer influence</w:t>
      </w:r>
      <w:r w:rsidRPr="00F23728">
        <w:t>s,</w:t>
      </w:r>
      <w:r>
        <w:t xml:space="preserve"> individual academic performance</w:t>
      </w:r>
      <w:r w:rsidRPr="00F23728">
        <w:t xml:space="preserve"> and young people’s overall perception</w:t>
      </w:r>
      <w:r>
        <w:t>s</w:t>
      </w:r>
      <w:r w:rsidRPr="00F23728">
        <w:t xml:space="preserve"> of school.</w:t>
      </w:r>
    </w:p>
    <w:p w:rsidR="00453D10" w:rsidRDefault="00453D10" w:rsidP="00453D10">
      <w:pPr>
        <w:pStyle w:val="Text"/>
      </w:pPr>
      <w:r>
        <w:t xml:space="preserve">An initial analysis of </w:t>
      </w:r>
      <w:r w:rsidR="00035275">
        <w:t xml:space="preserve">the </w:t>
      </w:r>
      <w:r>
        <w:t>factors that impact on aspirations confirms the importance of what might be referred to as the ‘list of usual suspects’ in youth transitions research. These factors include gender, English</w:t>
      </w:r>
      <w:r w:rsidR="00FA0A74">
        <w:t>-</w:t>
      </w:r>
      <w:r>
        <w:t xml:space="preserve">speaking background, </w:t>
      </w:r>
      <w:r w:rsidR="00035275">
        <w:t>socioeconomic status (</w:t>
      </w:r>
      <w:r>
        <w:t>SES</w:t>
      </w:r>
      <w:r w:rsidR="00035275">
        <w:t>)</w:t>
      </w:r>
      <w:r>
        <w:t xml:space="preserve"> </w:t>
      </w:r>
      <w:r w:rsidR="00FA0A74">
        <w:t xml:space="preserve">and </w:t>
      </w:r>
      <w:r>
        <w:t xml:space="preserve">academic </w:t>
      </w:r>
      <w:r w:rsidR="004604D3" w:rsidRPr="00F20220">
        <w:t>achievement at age 1</w:t>
      </w:r>
      <w:r w:rsidRPr="00F20220">
        <w:t>5</w:t>
      </w:r>
      <w:r w:rsidR="00035275" w:rsidRPr="00F20220">
        <w:t xml:space="preserve"> years</w:t>
      </w:r>
      <w:r w:rsidRPr="00F20220">
        <w:t>,</w:t>
      </w:r>
      <w:r>
        <w:t xml:space="preserve"> as well as parental and peer influences. In terms of importance, </w:t>
      </w:r>
      <w:r w:rsidR="00035275">
        <w:t xml:space="preserve">the </w:t>
      </w:r>
      <w:r>
        <w:t>results show that academic achievement at age 15</w:t>
      </w:r>
      <w:r w:rsidR="00035275">
        <w:t xml:space="preserve"> years</w:t>
      </w:r>
      <w:r>
        <w:t xml:space="preserve"> is the most important predictor of Year 12 completion, followed by parental influence. For intentions to go to university immediately upon leaving school, the most important influencers are the perceived expectations of parents and peers. For expected occupational status at age 30</w:t>
      </w:r>
      <w:r w:rsidR="00035275">
        <w:t xml:space="preserve"> years</w:t>
      </w:r>
      <w:r>
        <w:t>, the most important factor again is the influence of parents, along with academic achievement at age 15</w:t>
      </w:r>
      <w:r w:rsidR="00035275">
        <w:t xml:space="preserve"> years</w:t>
      </w:r>
      <w:r>
        <w:t>.</w:t>
      </w:r>
    </w:p>
    <w:p w:rsidR="002B5FD9" w:rsidRPr="002B5FD9" w:rsidRDefault="00453D10" w:rsidP="002B5FD9">
      <w:pPr>
        <w:pStyle w:val="Text"/>
      </w:pPr>
      <w:r>
        <w:t>This study also explored the extent to which the initial</w:t>
      </w:r>
      <w:r w:rsidR="00035275">
        <w:t xml:space="preserve"> occupational aspirations of 15-</w:t>
      </w:r>
      <w:r>
        <w:t>year-olds aligned with their actual occupational outcomes abou</w:t>
      </w:r>
      <w:r w:rsidR="00DA23A3">
        <w:t>t a decade later. The r</w:t>
      </w:r>
      <w:r w:rsidR="00035275">
        <w:t xml:space="preserve">esults are not </w:t>
      </w:r>
      <w:r>
        <w:t>surprising</w:t>
      </w:r>
      <w:r w:rsidR="00035275">
        <w:t>,</w:t>
      </w:r>
      <w:r>
        <w:t xml:space="preserve"> in that young people’s aspirations are somewhat unrealistic, with the distribution of aspirations being quite skewed towards high-status jobs. </w:t>
      </w:r>
      <w:r w:rsidR="002B5FD9" w:rsidRPr="002B5FD9">
        <w:t>By age 25</w:t>
      </w:r>
      <w:r w:rsidR="00035275">
        <w:t xml:space="preserve"> years,</w:t>
      </w:r>
      <w:r w:rsidR="002B5FD9" w:rsidRPr="002B5FD9">
        <w:t xml:space="preserve"> the age until which data are available for analysis, a significant portion of young people fall short of what they set out to achieve</w:t>
      </w:r>
      <w:r w:rsidR="00035275">
        <w:t xml:space="preserve"> in terms of occupation</w:t>
      </w:r>
      <w:r w:rsidR="002B5FD9" w:rsidRPr="002B5FD9">
        <w:t>. However, this does not mean that they cannot achieve their desired occupations at a later stage in life.</w:t>
      </w:r>
    </w:p>
    <w:p w:rsidR="00453D10" w:rsidRDefault="00453D10" w:rsidP="00453D10">
      <w:pPr>
        <w:pStyle w:val="Text"/>
        <w:rPr>
          <w:lang w:eastAsia="en-AU"/>
        </w:rPr>
      </w:pPr>
      <w:r>
        <w:t xml:space="preserve">A key insight from this study is just how critical parental influences are in driving young people’s educational and occupational aspirations. From a policy perspective, </w:t>
      </w:r>
      <w:r w:rsidR="00DA23A3">
        <w:t xml:space="preserve">the </w:t>
      </w:r>
      <w:r>
        <w:t xml:space="preserve">results from this study reinforce the importance of parent-focused interventions. </w:t>
      </w:r>
      <w:r>
        <w:rPr>
          <w:lang w:eastAsia="en-AU"/>
        </w:rPr>
        <w:t>One example of a successful intervention</w:t>
      </w:r>
      <w:r w:rsidRPr="002078A0">
        <w:rPr>
          <w:lang w:eastAsia="en-AU"/>
        </w:rPr>
        <w:t xml:space="preserve"> is the Parents as Career Transition Supports (PACTS</w:t>
      </w:r>
      <w:r w:rsidR="00644B5F">
        <w:rPr>
          <w:lang w:eastAsia="en-AU"/>
        </w:rPr>
        <w:t>) program.</w:t>
      </w:r>
      <w:r>
        <w:rPr>
          <w:lang w:eastAsia="en-AU"/>
        </w:rPr>
        <w:t xml:space="preserve"> </w:t>
      </w:r>
      <w:r w:rsidR="00826A9C">
        <w:rPr>
          <w:lang w:eastAsia="en-AU"/>
        </w:rPr>
        <w:t xml:space="preserve">This program provides parents and care </w:t>
      </w:r>
      <w:r>
        <w:rPr>
          <w:lang w:eastAsia="en-AU"/>
        </w:rPr>
        <w:t xml:space="preserve">givers with free advice </w:t>
      </w:r>
      <w:r w:rsidR="00826A9C">
        <w:rPr>
          <w:lang w:eastAsia="en-AU"/>
        </w:rPr>
        <w:t>on</w:t>
      </w:r>
      <w:r>
        <w:rPr>
          <w:lang w:eastAsia="en-AU"/>
        </w:rPr>
        <w:t xml:space="preserve"> educational pathways and </w:t>
      </w:r>
      <w:r w:rsidR="00DA23A3">
        <w:rPr>
          <w:lang w:eastAsia="en-AU"/>
        </w:rPr>
        <w:t xml:space="preserve">on </w:t>
      </w:r>
      <w:r>
        <w:rPr>
          <w:lang w:eastAsia="en-AU"/>
        </w:rPr>
        <w:t xml:space="preserve">how to communicate with young people about their careers. An evaluation of </w:t>
      </w:r>
      <w:r w:rsidR="00826A9C">
        <w:rPr>
          <w:lang w:eastAsia="en-AU"/>
        </w:rPr>
        <w:t>the program</w:t>
      </w:r>
      <w:r>
        <w:rPr>
          <w:lang w:eastAsia="en-AU"/>
        </w:rPr>
        <w:t xml:space="preserve"> showed </w:t>
      </w:r>
      <w:r w:rsidRPr="00681B5A">
        <w:rPr>
          <w:lang w:eastAsia="en-AU"/>
        </w:rPr>
        <w:t xml:space="preserve">that the proportion of parents who discussed post-school options with their children increased significantly after </w:t>
      </w:r>
      <w:r w:rsidR="00826A9C">
        <w:rPr>
          <w:lang w:eastAsia="en-AU"/>
        </w:rPr>
        <w:t>their participation in it</w:t>
      </w:r>
      <w:r w:rsidRPr="00681B5A">
        <w:rPr>
          <w:lang w:eastAsia="en-AU"/>
        </w:rPr>
        <w:t>.</w:t>
      </w:r>
      <w:r>
        <w:rPr>
          <w:lang w:eastAsia="en-AU"/>
        </w:rPr>
        <w:t xml:space="preserve"> Expanding </w:t>
      </w:r>
      <w:r w:rsidR="00DA23A3">
        <w:rPr>
          <w:lang w:eastAsia="en-AU"/>
        </w:rPr>
        <w:t xml:space="preserve">the provision of </w:t>
      </w:r>
      <w:r>
        <w:rPr>
          <w:lang w:eastAsia="en-AU"/>
        </w:rPr>
        <w:t xml:space="preserve">programs that actively engage parents in the career decision-making process may be an effective means </w:t>
      </w:r>
      <w:r>
        <w:t>for raising the educational and occupational aspirations of Australian youth</w:t>
      </w:r>
      <w:r>
        <w:rPr>
          <w:lang w:eastAsia="en-AU"/>
        </w:rPr>
        <w:t>.</w:t>
      </w:r>
    </w:p>
    <w:p w:rsidR="009E231A" w:rsidRPr="005C2FCF" w:rsidRDefault="00662934" w:rsidP="00F30F22">
      <w:pPr>
        <w:pStyle w:val="Heading1"/>
      </w:pPr>
      <w:bookmarkStart w:id="40" w:name="_Toc380048240"/>
      <w:r>
        <w:lastRenderedPageBreak/>
        <w:t>Introduction</w:t>
      </w:r>
      <w:bookmarkEnd w:id="40"/>
    </w:p>
    <w:p w:rsidR="006E621E" w:rsidRDefault="00FA0A74" w:rsidP="006E621E">
      <w:pPr>
        <w:pStyle w:val="Text"/>
        <w:rPr>
          <w:bCs/>
        </w:rPr>
      </w:pPr>
      <w:r>
        <w:rPr>
          <w:bCs/>
        </w:rPr>
        <w:t>The c</w:t>
      </w:r>
      <w:r w:rsidR="009D79EE">
        <w:rPr>
          <w:bCs/>
        </w:rPr>
        <w:t>urrent i</w:t>
      </w:r>
      <w:r w:rsidR="000A499F">
        <w:rPr>
          <w:bCs/>
        </w:rPr>
        <w:t xml:space="preserve">nterest </w:t>
      </w:r>
      <w:r w:rsidR="009D79EE">
        <w:rPr>
          <w:bCs/>
        </w:rPr>
        <w:t xml:space="preserve">in </w:t>
      </w:r>
      <w:r w:rsidR="009D79EE" w:rsidRPr="009A7AB7">
        <w:rPr>
          <w:bCs/>
        </w:rPr>
        <w:t>young people’s aspirations</w:t>
      </w:r>
      <w:r w:rsidR="009D79EE">
        <w:rPr>
          <w:bCs/>
        </w:rPr>
        <w:t xml:space="preserve"> </w:t>
      </w:r>
      <w:r w:rsidR="003E1780">
        <w:rPr>
          <w:bCs/>
        </w:rPr>
        <w:t>is based on</w:t>
      </w:r>
      <w:r w:rsidR="000A499F">
        <w:t xml:space="preserve"> </w:t>
      </w:r>
      <w:r w:rsidR="006538F2">
        <w:t xml:space="preserve">strong </w:t>
      </w:r>
      <w:r w:rsidR="000A499F">
        <w:t>evi</w:t>
      </w:r>
      <w:r w:rsidR="009D79EE">
        <w:t xml:space="preserve">dence </w:t>
      </w:r>
      <w:r w:rsidR="000A499F">
        <w:t>th</w:t>
      </w:r>
      <w:r w:rsidR="006538F2">
        <w:t>at links goals and ambitions to</w:t>
      </w:r>
      <w:r w:rsidR="000A499F">
        <w:t xml:space="preserve"> </w:t>
      </w:r>
      <w:r w:rsidR="006538F2">
        <w:t xml:space="preserve">longer-term </w:t>
      </w:r>
      <w:r w:rsidR="000A499F">
        <w:t xml:space="preserve">education and work </w:t>
      </w:r>
      <w:r w:rsidR="009D79EE">
        <w:t xml:space="preserve">outcomes </w:t>
      </w:r>
      <w:r w:rsidR="006538F2">
        <w:t>(</w:t>
      </w:r>
      <w:r w:rsidR="000A499F" w:rsidRPr="00560432">
        <w:t xml:space="preserve">Beal &amp; Crockett 2010; Homel &amp; Ryan </w:t>
      </w:r>
      <w:r w:rsidR="00826A9C" w:rsidRPr="00DA23A3">
        <w:t>201</w:t>
      </w:r>
      <w:r w:rsidR="00826A9C">
        <w:t>4</w:t>
      </w:r>
      <w:r w:rsidR="000A499F" w:rsidRPr="00560432">
        <w:t>; Khoo &amp; Ainley 2005</w:t>
      </w:r>
      <w:r w:rsidR="000A499F">
        <w:t>; Lee 2010; Ou &amp; Reynolds 2008; Sikora &amp; Saha 2011).</w:t>
      </w:r>
      <w:r w:rsidR="009D79EE">
        <w:t xml:space="preserve"> </w:t>
      </w:r>
      <w:r w:rsidR="00D60EFF">
        <w:t xml:space="preserve">Given the central role of aspirations </w:t>
      </w:r>
      <w:r w:rsidR="00A11238">
        <w:t xml:space="preserve">in the </w:t>
      </w:r>
      <w:r w:rsidR="00D60EFF">
        <w:t xml:space="preserve">transition from </w:t>
      </w:r>
      <w:r w:rsidR="005061E7" w:rsidRPr="00F23728">
        <w:t>school to tertiary education and work</w:t>
      </w:r>
      <w:r w:rsidR="003E1780">
        <w:t>,</w:t>
      </w:r>
      <w:r w:rsidR="00D60EFF">
        <w:t xml:space="preserve"> it is important to understand </w:t>
      </w:r>
      <w:r w:rsidR="00D60EFF">
        <w:rPr>
          <w:lang w:val="en-US"/>
        </w:rPr>
        <w:t xml:space="preserve">which </w:t>
      </w:r>
      <w:r w:rsidR="009574A6">
        <w:rPr>
          <w:lang w:val="en-US"/>
        </w:rPr>
        <w:t>particular</w:t>
      </w:r>
      <w:r w:rsidR="00D60BCA">
        <w:rPr>
          <w:lang w:val="en-US"/>
        </w:rPr>
        <w:t xml:space="preserve"> </w:t>
      </w:r>
      <w:r w:rsidR="00016159">
        <w:rPr>
          <w:lang w:val="en-US"/>
        </w:rPr>
        <w:t xml:space="preserve">factors </w:t>
      </w:r>
      <w:r w:rsidR="009574A6">
        <w:rPr>
          <w:lang w:val="en-US"/>
        </w:rPr>
        <w:t>influence</w:t>
      </w:r>
      <w:r w:rsidR="00C64271">
        <w:rPr>
          <w:lang w:val="en-US"/>
        </w:rPr>
        <w:t xml:space="preserve"> </w:t>
      </w:r>
      <w:r w:rsidR="00A11238">
        <w:t>the</w:t>
      </w:r>
      <w:r w:rsidR="00016159">
        <w:t xml:space="preserve"> </w:t>
      </w:r>
      <w:r w:rsidR="009574A6">
        <w:t xml:space="preserve">educational and occupational </w:t>
      </w:r>
      <w:r w:rsidR="00016159">
        <w:t>aspirations</w:t>
      </w:r>
      <w:r w:rsidR="00A11238">
        <w:t xml:space="preserve"> of </w:t>
      </w:r>
      <w:r w:rsidR="007F7303">
        <w:t>teenagers</w:t>
      </w:r>
      <w:r w:rsidR="00D60BCA">
        <w:t>.</w:t>
      </w:r>
      <w:r w:rsidR="00D93AB1">
        <w:t xml:space="preserve"> </w:t>
      </w:r>
      <w:r w:rsidR="00A11238">
        <w:rPr>
          <w:bCs/>
        </w:rPr>
        <w:t>S</w:t>
      </w:r>
      <w:r w:rsidR="00C64271">
        <w:rPr>
          <w:bCs/>
        </w:rPr>
        <w:t>tudies</w:t>
      </w:r>
      <w:r w:rsidR="00016159">
        <w:rPr>
          <w:bCs/>
        </w:rPr>
        <w:t xml:space="preserve"> </w:t>
      </w:r>
      <w:r w:rsidR="00073BA4">
        <w:rPr>
          <w:bCs/>
        </w:rPr>
        <w:t xml:space="preserve">from the United States </w:t>
      </w:r>
      <w:r w:rsidR="00C64271">
        <w:rPr>
          <w:bCs/>
        </w:rPr>
        <w:t>have associated</w:t>
      </w:r>
      <w:r w:rsidR="006E621E" w:rsidRPr="0078451A">
        <w:rPr>
          <w:bCs/>
        </w:rPr>
        <w:t xml:space="preserve"> </w:t>
      </w:r>
      <w:r w:rsidR="009574A6">
        <w:rPr>
          <w:bCs/>
        </w:rPr>
        <w:t xml:space="preserve">the formation of </w:t>
      </w:r>
      <w:r w:rsidR="00C64271">
        <w:rPr>
          <w:bCs/>
        </w:rPr>
        <w:t>aspirations</w:t>
      </w:r>
      <w:r w:rsidR="00C64271" w:rsidRPr="0078451A">
        <w:rPr>
          <w:bCs/>
        </w:rPr>
        <w:t xml:space="preserve"> </w:t>
      </w:r>
      <w:r w:rsidR="00C64271">
        <w:rPr>
          <w:bCs/>
        </w:rPr>
        <w:t xml:space="preserve">with </w:t>
      </w:r>
      <w:r w:rsidR="006E621E" w:rsidRPr="0078451A">
        <w:rPr>
          <w:bCs/>
        </w:rPr>
        <w:t>socio-d</w:t>
      </w:r>
      <w:r w:rsidR="009574A6">
        <w:rPr>
          <w:bCs/>
        </w:rPr>
        <w:t xml:space="preserve">emographic </w:t>
      </w:r>
      <w:r w:rsidR="00C64271">
        <w:rPr>
          <w:bCs/>
        </w:rPr>
        <w:t>factors</w:t>
      </w:r>
      <w:r w:rsidR="00D93AB1">
        <w:rPr>
          <w:bCs/>
        </w:rPr>
        <w:t xml:space="preserve">, including </w:t>
      </w:r>
      <w:r w:rsidR="00D60BCA">
        <w:rPr>
          <w:bCs/>
        </w:rPr>
        <w:t>gender, socioeconomic status and ethnic background</w:t>
      </w:r>
      <w:r w:rsidR="00D93AB1">
        <w:rPr>
          <w:bCs/>
        </w:rPr>
        <w:t xml:space="preserve"> </w:t>
      </w:r>
      <w:r w:rsidR="00073BA4">
        <w:rPr>
          <w:bCs/>
        </w:rPr>
        <w:t>(Lee &amp; Rojewski 2009; Mello 2008,</w:t>
      </w:r>
      <w:r w:rsidR="001E0DAA">
        <w:rPr>
          <w:bCs/>
        </w:rPr>
        <w:t xml:space="preserve"> </w:t>
      </w:r>
      <w:r w:rsidR="00073BA4">
        <w:rPr>
          <w:bCs/>
        </w:rPr>
        <w:t>2009)</w:t>
      </w:r>
      <w:r w:rsidR="006E621E" w:rsidRPr="0078451A">
        <w:rPr>
          <w:bCs/>
        </w:rPr>
        <w:t>.</w:t>
      </w:r>
      <w:r w:rsidR="003E1780" w:rsidRPr="003E1780">
        <w:rPr>
          <w:bCs/>
        </w:rPr>
        <w:t xml:space="preserve"> </w:t>
      </w:r>
      <w:r w:rsidR="003E1780" w:rsidRPr="0078451A">
        <w:rPr>
          <w:bCs/>
        </w:rPr>
        <w:t>In the Australi</w:t>
      </w:r>
      <w:r w:rsidR="003E1780">
        <w:rPr>
          <w:bCs/>
        </w:rPr>
        <w:t>an context, aspirations hav</w:t>
      </w:r>
      <w:r w:rsidR="00A11238">
        <w:rPr>
          <w:bCs/>
        </w:rPr>
        <w:t xml:space="preserve">e been linked to </w:t>
      </w:r>
      <w:r w:rsidR="003E1780" w:rsidRPr="0078451A">
        <w:rPr>
          <w:bCs/>
        </w:rPr>
        <w:t>gender, Indigenous stat</w:t>
      </w:r>
      <w:r w:rsidR="00826A9C">
        <w:rPr>
          <w:bCs/>
        </w:rPr>
        <w:t>us, home language</w:t>
      </w:r>
      <w:r w:rsidR="003E1780">
        <w:rPr>
          <w:bCs/>
        </w:rPr>
        <w:t xml:space="preserve"> and location </w:t>
      </w:r>
      <w:r w:rsidR="003E1780" w:rsidRPr="0078451A">
        <w:rPr>
          <w:bCs/>
        </w:rPr>
        <w:t>(Ainley et al. 2011).</w:t>
      </w:r>
      <w:r w:rsidR="007F7303">
        <w:rPr>
          <w:bCs/>
        </w:rPr>
        <w:t xml:space="preserve"> Moreover, e</w:t>
      </w:r>
      <w:r w:rsidR="006E621E">
        <w:rPr>
          <w:bCs/>
        </w:rPr>
        <w:t xml:space="preserve">xternal influences </w:t>
      </w:r>
      <w:r w:rsidR="00D60BCA">
        <w:rPr>
          <w:bCs/>
        </w:rPr>
        <w:t xml:space="preserve">play a </w:t>
      </w:r>
      <w:r w:rsidR="006E621E" w:rsidRPr="0078451A">
        <w:rPr>
          <w:bCs/>
        </w:rPr>
        <w:t xml:space="preserve">role in the formation of </w:t>
      </w:r>
      <w:r w:rsidR="006E621E">
        <w:rPr>
          <w:bCs/>
        </w:rPr>
        <w:t>aspirations</w:t>
      </w:r>
      <w:r w:rsidR="008D201E">
        <w:rPr>
          <w:bCs/>
        </w:rPr>
        <w:t>. Such</w:t>
      </w:r>
      <w:r w:rsidR="006E621E" w:rsidRPr="0078451A">
        <w:rPr>
          <w:bCs/>
        </w:rPr>
        <w:t xml:space="preserve"> influences include </w:t>
      </w:r>
      <w:r w:rsidR="006E621E" w:rsidRPr="0078451A">
        <w:t>parental expectations for their children (Benner &amp; Mis</w:t>
      </w:r>
      <w:r w:rsidR="006E621E">
        <w:t xml:space="preserve">try 2007; Kirk et al. 2011) and </w:t>
      </w:r>
      <w:r w:rsidR="006E621E" w:rsidRPr="0078451A">
        <w:t>the educational plans of</w:t>
      </w:r>
      <w:r w:rsidR="006E621E">
        <w:t xml:space="preserve"> </w:t>
      </w:r>
      <w:r w:rsidR="00DA23A3">
        <w:t xml:space="preserve">their </w:t>
      </w:r>
      <w:r w:rsidR="006E621E">
        <w:t>peers (Buchmann &amp; Dalton 2002)</w:t>
      </w:r>
      <w:r w:rsidR="00826A9C">
        <w:t>.</w:t>
      </w:r>
      <w:r w:rsidR="00BF6B8E">
        <w:rPr>
          <w:rStyle w:val="FootnoteReference"/>
        </w:rPr>
        <w:footnoteReference w:id="1"/>
      </w:r>
    </w:p>
    <w:p w:rsidR="004443E6" w:rsidRDefault="00BF6B8E" w:rsidP="00EF35B4">
      <w:pPr>
        <w:pStyle w:val="Text"/>
        <w:rPr>
          <w:bCs/>
        </w:rPr>
      </w:pPr>
      <w:r>
        <w:rPr>
          <w:bCs/>
        </w:rPr>
        <w:t xml:space="preserve">While </w:t>
      </w:r>
      <w:r w:rsidR="002F2D2A">
        <w:rPr>
          <w:bCs/>
        </w:rPr>
        <w:t xml:space="preserve">prior research has identified </w:t>
      </w:r>
      <w:r w:rsidR="005916B3">
        <w:rPr>
          <w:bCs/>
        </w:rPr>
        <w:t xml:space="preserve">a number of general </w:t>
      </w:r>
      <w:r w:rsidR="00097AC7">
        <w:rPr>
          <w:bCs/>
        </w:rPr>
        <w:t>factors that drive</w:t>
      </w:r>
      <w:r w:rsidRPr="00BF6B8E">
        <w:rPr>
          <w:bCs/>
        </w:rPr>
        <w:t xml:space="preserve"> young people’s </w:t>
      </w:r>
      <w:r w:rsidR="00097AC7">
        <w:rPr>
          <w:bCs/>
        </w:rPr>
        <w:t xml:space="preserve">educational and occupational </w:t>
      </w:r>
      <w:r w:rsidRPr="00BF6B8E">
        <w:rPr>
          <w:bCs/>
        </w:rPr>
        <w:t xml:space="preserve">aspirations, </w:t>
      </w:r>
      <w:r w:rsidR="00AE2D44">
        <w:rPr>
          <w:bCs/>
        </w:rPr>
        <w:t xml:space="preserve">the important question </w:t>
      </w:r>
      <w:r w:rsidR="002F2D2A">
        <w:rPr>
          <w:bCs/>
        </w:rPr>
        <w:t>from a policy perspective</w:t>
      </w:r>
      <w:r w:rsidR="00EF35B4">
        <w:rPr>
          <w:bCs/>
        </w:rPr>
        <w:t xml:space="preserve"> is</w:t>
      </w:r>
      <w:r w:rsidR="00F575F1">
        <w:rPr>
          <w:bCs/>
        </w:rPr>
        <w:t xml:space="preserve"> w</w:t>
      </w:r>
      <w:r w:rsidR="004443E6">
        <w:rPr>
          <w:bCs/>
        </w:rPr>
        <w:t>hich</w:t>
      </w:r>
      <w:r w:rsidR="00F575F1">
        <w:rPr>
          <w:bCs/>
        </w:rPr>
        <w:t xml:space="preserve"> </w:t>
      </w:r>
      <w:r w:rsidR="005916B3">
        <w:rPr>
          <w:bCs/>
        </w:rPr>
        <w:t xml:space="preserve">of these </w:t>
      </w:r>
      <w:r w:rsidR="004443E6">
        <w:rPr>
          <w:bCs/>
        </w:rPr>
        <w:t>factors</w:t>
      </w:r>
      <w:r w:rsidR="007F7303">
        <w:rPr>
          <w:bCs/>
        </w:rPr>
        <w:t xml:space="preserve"> </w:t>
      </w:r>
      <w:r w:rsidR="00F575F1">
        <w:rPr>
          <w:bCs/>
        </w:rPr>
        <w:t xml:space="preserve">matter </w:t>
      </w:r>
      <w:r w:rsidR="00EF35B4">
        <w:rPr>
          <w:bCs/>
        </w:rPr>
        <w:t>most and whether they can be influenced by policy</w:t>
      </w:r>
      <w:r w:rsidR="00F575F1">
        <w:rPr>
          <w:bCs/>
        </w:rPr>
        <w:t>.</w:t>
      </w:r>
      <w:r w:rsidR="005916B3">
        <w:rPr>
          <w:bCs/>
        </w:rPr>
        <w:t xml:space="preserve"> A related</w:t>
      </w:r>
      <w:r w:rsidR="00EF35B4">
        <w:rPr>
          <w:bCs/>
        </w:rPr>
        <w:t xml:space="preserve"> question is </w:t>
      </w:r>
      <w:r w:rsidR="006941D5">
        <w:rPr>
          <w:bCs/>
        </w:rPr>
        <w:t>the</w:t>
      </w:r>
      <w:r w:rsidRPr="00BF6B8E">
        <w:rPr>
          <w:bCs/>
        </w:rPr>
        <w:t xml:space="preserve"> extent </w:t>
      </w:r>
      <w:r w:rsidR="006941D5">
        <w:rPr>
          <w:bCs/>
        </w:rPr>
        <w:t xml:space="preserve">to which </w:t>
      </w:r>
      <w:r w:rsidRPr="00BF6B8E">
        <w:rPr>
          <w:bCs/>
        </w:rPr>
        <w:t xml:space="preserve">the occupational aspirations of teenagers align with their actual </w:t>
      </w:r>
      <w:r w:rsidR="005916B3">
        <w:rPr>
          <w:bCs/>
        </w:rPr>
        <w:t xml:space="preserve">longer-term </w:t>
      </w:r>
      <w:r w:rsidRPr="00BF6B8E">
        <w:rPr>
          <w:bCs/>
        </w:rPr>
        <w:t>job outcomes</w:t>
      </w:r>
      <w:r w:rsidR="00EF35B4">
        <w:rPr>
          <w:bCs/>
        </w:rPr>
        <w:t>.</w:t>
      </w:r>
    </w:p>
    <w:p w:rsidR="007D473E" w:rsidRPr="002F2D2A" w:rsidRDefault="000A499F" w:rsidP="007D473E">
      <w:pPr>
        <w:pStyle w:val="Text"/>
      </w:pPr>
      <w:r>
        <w:t xml:space="preserve">This </w:t>
      </w:r>
      <w:r w:rsidR="00C66602">
        <w:t>report</w:t>
      </w:r>
      <w:r w:rsidRPr="00FE60D7">
        <w:t xml:space="preserve"> use</w:t>
      </w:r>
      <w:r>
        <w:t>s data from the Longitudi</w:t>
      </w:r>
      <w:r w:rsidR="006941D5">
        <w:t>nal Surveys of Australian Youth</w:t>
      </w:r>
      <w:r w:rsidR="00D60BCA">
        <w:t xml:space="preserve"> </w:t>
      </w:r>
      <w:r>
        <w:t>t</w:t>
      </w:r>
      <w:r w:rsidRPr="00FE60D7">
        <w:t xml:space="preserve">o </w:t>
      </w:r>
      <w:r w:rsidR="004443E6">
        <w:t>address these questions</w:t>
      </w:r>
      <w:r w:rsidR="002F2D2A">
        <w:t xml:space="preserve"> by examining</w:t>
      </w:r>
      <w:r w:rsidR="00581F04">
        <w:t xml:space="preserve"> young people’s</w:t>
      </w:r>
      <w:r w:rsidR="004443E6">
        <w:t xml:space="preserve"> plans</w:t>
      </w:r>
      <w:r>
        <w:t xml:space="preserve"> to complete</w:t>
      </w:r>
      <w:r w:rsidRPr="00BB3184">
        <w:t xml:space="preserve"> Year 12</w:t>
      </w:r>
      <w:r w:rsidR="008D201E">
        <w:t>,</w:t>
      </w:r>
      <w:r w:rsidR="004443E6">
        <w:t xml:space="preserve"> their </w:t>
      </w:r>
      <w:r w:rsidR="004A479F">
        <w:t>aspirations</w:t>
      </w:r>
      <w:r>
        <w:t xml:space="preserve"> </w:t>
      </w:r>
      <w:r w:rsidR="00286B6E">
        <w:t>to commence</w:t>
      </w:r>
      <w:r w:rsidRPr="00BB3184">
        <w:t xml:space="preserve"> university </w:t>
      </w:r>
      <w:r w:rsidRPr="00C14C85">
        <w:t>study in the first</w:t>
      </w:r>
      <w:r w:rsidR="00581F04">
        <w:t xml:space="preserve"> year after leaving</w:t>
      </w:r>
      <w:r w:rsidR="006941D5">
        <w:t xml:space="preserve"> school</w:t>
      </w:r>
      <w:r w:rsidR="00581F04">
        <w:t xml:space="preserve"> and</w:t>
      </w:r>
      <w:r w:rsidR="004443E6">
        <w:t xml:space="preserve"> their </w:t>
      </w:r>
      <w:r w:rsidR="00286B6E">
        <w:t>expect</w:t>
      </w:r>
      <w:r w:rsidR="00581F04">
        <w:t>ed</w:t>
      </w:r>
      <w:r w:rsidR="004443E6" w:rsidRPr="0078451A">
        <w:rPr>
          <w:rStyle w:val="FootnoteReference"/>
          <w:i/>
        </w:rPr>
        <w:footnoteReference w:id="2"/>
      </w:r>
      <w:r w:rsidR="00286B6E">
        <w:t xml:space="preserve"> </w:t>
      </w:r>
      <w:r w:rsidR="00581F04">
        <w:t xml:space="preserve">occupation </w:t>
      </w:r>
      <w:r w:rsidRPr="00C14C85">
        <w:t>at age 30</w:t>
      </w:r>
      <w:r w:rsidR="006941D5">
        <w:t xml:space="preserve"> years</w:t>
      </w:r>
      <w:r w:rsidR="002F2D2A">
        <w:t xml:space="preserve">. </w:t>
      </w:r>
      <w:r w:rsidR="00581F04">
        <w:rPr>
          <w:color w:val="000000"/>
        </w:rPr>
        <w:t>Particular e</w:t>
      </w:r>
      <w:r w:rsidR="00286B6E">
        <w:rPr>
          <w:color w:val="000000"/>
        </w:rPr>
        <w:t xml:space="preserve">mphasis is given </w:t>
      </w:r>
      <w:r w:rsidR="002F2D2A">
        <w:rPr>
          <w:color w:val="000000"/>
        </w:rPr>
        <w:t>to</w:t>
      </w:r>
      <w:r w:rsidR="008D201E">
        <w:rPr>
          <w:color w:val="000000"/>
        </w:rPr>
        <w:t xml:space="preserve"> </w:t>
      </w:r>
      <w:r w:rsidR="00DB4909">
        <w:rPr>
          <w:color w:val="000000"/>
        </w:rPr>
        <w:t xml:space="preserve">the impact </w:t>
      </w:r>
      <w:r>
        <w:rPr>
          <w:color w:val="000000"/>
        </w:rPr>
        <w:t xml:space="preserve">of </w:t>
      </w:r>
      <w:r w:rsidR="007D473E">
        <w:rPr>
          <w:color w:val="000000"/>
        </w:rPr>
        <w:t xml:space="preserve">socio-demographic background factors, </w:t>
      </w:r>
      <w:r w:rsidR="00277EAB">
        <w:rPr>
          <w:color w:val="000000"/>
        </w:rPr>
        <w:t>academic performance</w:t>
      </w:r>
      <w:r w:rsidR="006E621E">
        <w:rPr>
          <w:color w:val="000000"/>
        </w:rPr>
        <w:t>, parental and peer influences</w:t>
      </w:r>
      <w:r w:rsidR="00A661D1">
        <w:rPr>
          <w:color w:val="000000"/>
        </w:rPr>
        <w:t>, and young people’s overall perception of the school experience.</w:t>
      </w:r>
    </w:p>
    <w:p w:rsidR="00F30F22" w:rsidRDefault="00FA0A74" w:rsidP="00BF6B8E">
      <w:pPr>
        <w:pStyle w:val="Text"/>
      </w:pPr>
      <w:r>
        <w:t>Of the four sections comprising the</w:t>
      </w:r>
      <w:r w:rsidR="004A479F" w:rsidRPr="004A479F">
        <w:t xml:space="preserve"> remainder of this report</w:t>
      </w:r>
      <w:r>
        <w:t>,</w:t>
      </w:r>
      <w:r w:rsidR="004A479F" w:rsidRPr="004A479F">
        <w:t xml:space="preserve"> </w:t>
      </w:r>
      <w:r w:rsidRPr="004A479F">
        <w:t>t</w:t>
      </w:r>
      <w:r w:rsidR="004A479F" w:rsidRPr="004A479F">
        <w:t xml:space="preserve">he first describes the data and sample. </w:t>
      </w:r>
      <w:r w:rsidR="006941D5">
        <w:t>The following section</w:t>
      </w:r>
      <w:r w:rsidR="004C6465">
        <w:t xml:space="preserve"> examines </w:t>
      </w:r>
      <w:r w:rsidR="006941D5">
        <w:t>the</w:t>
      </w:r>
      <w:r w:rsidR="004A479F" w:rsidRPr="004A479F">
        <w:t xml:space="preserve"> </w:t>
      </w:r>
      <w:r w:rsidR="004A479F" w:rsidRPr="00F635BB">
        <w:t xml:space="preserve">factors </w:t>
      </w:r>
      <w:r w:rsidR="006941D5">
        <w:t xml:space="preserve">that </w:t>
      </w:r>
      <w:r w:rsidR="004A479F" w:rsidRPr="00F635BB">
        <w:t>matter most</w:t>
      </w:r>
      <w:r w:rsidR="004C6465">
        <w:t xml:space="preserve"> for each of the </w:t>
      </w:r>
      <w:r w:rsidR="00346309">
        <w:t>aspiration</w:t>
      </w:r>
      <w:r w:rsidR="00EF35B4">
        <w:t xml:space="preserve"> </w:t>
      </w:r>
      <w:r w:rsidR="004C6465">
        <w:t xml:space="preserve">outcomes </w:t>
      </w:r>
      <w:r w:rsidR="00AC2405">
        <w:t xml:space="preserve">of interest </w:t>
      </w:r>
      <w:r w:rsidR="004C6465">
        <w:t>(</w:t>
      </w:r>
      <w:r w:rsidR="006941D5">
        <w:t>that is,</w:t>
      </w:r>
      <w:r w:rsidR="004C6465">
        <w:t xml:space="preserve"> plans to complete</w:t>
      </w:r>
      <w:r w:rsidR="004C6465" w:rsidRPr="00BB3184">
        <w:t xml:space="preserve"> Year 12</w:t>
      </w:r>
      <w:r w:rsidR="004C6465">
        <w:t>, aspirations to commence</w:t>
      </w:r>
      <w:r w:rsidR="004C6465" w:rsidRPr="00BB3184">
        <w:t xml:space="preserve"> university </w:t>
      </w:r>
      <w:r w:rsidR="004C6465">
        <w:t xml:space="preserve">study, expected occupation </w:t>
      </w:r>
      <w:r w:rsidR="004C6465" w:rsidRPr="00C14C85">
        <w:t>at age 30</w:t>
      </w:r>
      <w:r>
        <w:t xml:space="preserve"> years</w:t>
      </w:r>
      <w:r w:rsidR="004141C0">
        <w:t xml:space="preserve">). </w:t>
      </w:r>
      <w:r w:rsidR="00EF35B4">
        <w:rPr>
          <w:bCs/>
        </w:rPr>
        <w:t xml:space="preserve">The </w:t>
      </w:r>
      <w:r w:rsidR="006941D5">
        <w:rPr>
          <w:bCs/>
        </w:rPr>
        <w:t>penultimate</w:t>
      </w:r>
      <w:r w:rsidR="004A479F" w:rsidRPr="004A479F">
        <w:rPr>
          <w:bCs/>
        </w:rPr>
        <w:t xml:space="preserve"> section compares the </w:t>
      </w:r>
      <w:r w:rsidR="00E112DF">
        <w:rPr>
          <w:bCs/>
        </w:rPr>
        <w:t xml:space="preserve">initial </w:t>
      </w:r>
      <w:r w:rsidR="004A479F" w:rsidRPr="004A479F">
        <w:rPr>
          <w:bCs/>
        </w:rPr>
        <w:t>occupational aspi</w:t>
      </w:r>
      <w:r w:rsidR="006941D5">
        <w:rPr>
          <w:bCs/>
        </w:rPr>
        <w:t>rations of 15</w:t>
      </w:r>
      <w:r w:rsidR="00F30F22">
        <w:rPr>
          <w:bCs/>
        </w:rPr>
        <w:t>-</w:t>
      </w:r>
      <w:r w:rsidR="00F61609">
        <w:rPr>
          <w:bCs/>
        </w:rPr>
        <w:t>year-</w:t>
      </w:r>
      <w:r w:rsidR="00E112DF">
        <w:rPr>
          <w:bCs/>
        </w:rPr>
        <w:t xml:space="preserve">olds </w:t>
      </w:r>
      <w:r w:rsidR="006941D5">
        <w:rPr>
          <w:bCs/>
        </w:rPr>
        <w:t>with</w:t>
      </w:r>
      <w:r w:rsidR="00E112DF">
        <w:rPr>
          <w:bCs/>
        </w:rPr>
        <w:t xml:space="preserve"> their</w:t>
      </w:r>
      <w:r w:rsidR="004A479F" w:rsidRPr="004A479F">
        <w:rPr>
          <w:bCs/>
        </w:rPr>
        <w:t xml:space="preserve"> actual occupa</w:t>
      </w:r>
      <w:r w:rsidR="00E112DF">
        <w:rPr>
          <w:bCs/>
        </w:rPr>
        <w:t xml:space="preserve">tional outcomes </w:t>
      </w:r>
      <w:r w:rsidR="004A479F" w:rsidRPr="004A479F">
        <w:rPr>
          <w:bCs/>
        </w:rPr>
        <w:t>ab</w:t>
      </w:r>
      <w:r w:rsidR="00DA23A3">
        <w:rPr>
          <w:bCs/>
        </w:rPr>
        <w:t>out a decade later</w:t>
      </w:r>
      <w:r>
        <w:rPr>
          <w:bCs/>
        </w:rPr>
        <w:t>;</w:t>
      </w:r>
      <w:r w:rsidR="00DA23A3">
        <w:rPr>
          <w:bCs/>
        </w:rPr>
        <w:t xml:space="preserve"> the last s</w:t>
      </w:r>
      <w:r w:rsidR="00AC2405">
        <w:rPr>
          <w:bCs/>
        </w:rPr>
        <w:t xml:space="preserve">ection </w:t>
      </w:r>
      <w:r w:rsidR="006941D5">
        <w:rPr>
          <w:bCs/>
        </w:rPr>
        <w:t>presents the conclusion.</w:t>
      </w:r>
      <w:r w:rsidR="006941D5">
        <w:t xml:space="preserve"> </w:t>
      </w:r>
    </w:p>
    <w:p w:rsidR="00662934" w:rsidRDefault="00662934" w:rsidP="00BF6B8E">
      <w:pPr>
        <w:pStyle w:val="Text"/>
      </w:pPr>
      <w:r>
        <w:br w:type="page"/>
      </w:r>
    </w:p>
    <w:p w:rsidR="00662934" w:rsidRDefault="00D80F12" w:rsidP="00662934">
      <w:pPr>
        <w:pStyle w:val="Heading1"/>
      </w:pPr>
      <w:bookmarkStart w:id="41" w:name="_Toc380048241"/>
      <w:r>
        <w:lastRenderedPageBreak/>
        <w:t>Data and sample</w:t>
      </w:r>
      <w:bookmarkEnd w:id="41"/>
    </w:p>
    <w:p w:rsidR="00F23728" w:rsidRPr="00F23728" w:rsidRDefault="00F23728" w:rsidP="00F23728">
      <w:pPr>
        <w:pStyle w:val="Text"/>
      </w:pPr>
      <w:r w:rsidRPr="00F23728">
        <w:t>This study us</w:t>
      </w:r>
      <w:r w:rsidR="00B16BB4">
        <w:t xml:space="preserve">ed data from the 2009 </w:t>
      </w:r>
      <w:r w:rsidRPr="00F23728">
        <w:t>cohort of the Longitudinal Surveys of Australian Youth</w:t>
      </w:r>
      <w:r w:rsidR="000C1409">
        <w:t>.</w:t>
      </w:r>
      <w:r w:rsidR="00A01B63">
        <w:rPr>
          <w:rStyle w:val="FootnoteReference"/>
        </w:rPr>
        <w:footnoteReference w:id="3"/>
      </w:r>
      <w:r w:rsidRPr="00F23728">
        <w:t xml:space="preserve"> LSAY tracks a nationally representative sample of</w:t>
      </w:r>
      <w:r w:rsidR="000C1409">
        <w:t xml:space="preserve"> 15-</w:t>
      </w:r>
      <w:r w:rsidR="00B16BB4">
        <w:t>year-olds over a period of approximately t</w:t>
      </w:r>
      <w:r w:rsidRPr="00F23728">
        <w:t xml:space="preserve">en years to capture young people’s transition from school to tertiary education and work. The 2009 base year of LSAY is linked </w:t>
      </w:r>
      <w:r w:rsidR="000C1409">
        <w:t>to</w:t>
      </w:r>
      <w:r w:rsidRPr="00F23728">
        <w:t xml:space="preserve"> the 2009 </w:t>
      </w:r>
      <w:r w:rsidR="00B16BB4">
        <w:t>Program</w:t>
      </w:r>
      <w:r w:rsidR="000C1409">
        <w:t>me</w:t>
      </w:r>
      <w:r w:rsidR="00B16BB4">
        <w:t xml:space="preserve"> for International Student Assessment (</w:t>
      </w:r>
      <w:r w:rsidRPr="00F23728">
        <w:t>PISA</w:t>
      </w:r>
      <w:r w:rsidR="000C1409">
        <w:t>;</w:t>
      </w:r>
      <w:r w:rsidR="00B16BB4">
        <w:t xml:space="preserve"> OECD </w:t>
      </w:r>
      <w:r w:rsidR="00792975">
        <w:t>2010</w:t>
      </w:r>
      <w:r w:rsidR="00B16BB4">
        <w:t>)</w:t>
      </w:r>
      <w:r w:rsidRPr="00F23728">
        <w:t>, which provides a rich set of individual bac</w:t>
      </w:r>
      <w:r w:rsidR="005061E7">
        <w:t xml:space="preserve">kground measures. A total of 14 </w:t>
      </w:r>
      <w:r w:rsidRPr="00F23728">
        <w:t>251 students participated in the 2009 base year.</w:t>
      </w:r>
    </w:p>
    <w:p w:rsidR="00F23728" w:rsidRPr="00F23728" w:rsidRDefault="00F23728" w:rsidP="00D80F12">
      <w:pPr>
        <w:pStyle w:val="Heading2"/>
      </w:pPr>
      <w:bookmarkStart w:id="42" w:name="_Toc380048242"/>
      <w:r w:rsidRPr="00F23728">
        <w:t>Outcome measures</w:t>
      </w:r>
      <w:bookmarkEnd w:id="42"/>
    </w:p>
    <w:p w:rsidR="00F23728" w:rsidRPr="00F23728" w:rsidRDefault="00F23728" w:rsidP="00F23728">
      <w:pPr>
        <w:pStyle w:val="Text"/>
      </w:pPr>
      <w:r w:rsidRPr="00F23728">
        <w:t xml:space="preserve">The overarching purpose of this study </w:t>
      </w:r>
      <w:r w:rsidR="003A09EF">
        <w:t xml:space="preserve">is to shed light on the </w:t>
      </w:r>
      <w:r w:rsidRPr="00F23728">
        <w:t xml:space="preserve">ways </w:t>
      </w:r>
      <w:r w:rsidR="000C1409">
        <w:t>by</w:t>
      </w:r>
      <w:r w:rsidRPr="00F23728">
        <w:t xml:space="preserve"> which relevant background characteristics influence young people’s</w:t>
      </w:r>
      <w:r w:rsidR="00DA23A3">
        <w:t>:</w:t>
      </w:r>
    </w:p>
    <w:p w:rsidR="00F23728" w:rsidRPr="00F23728" w:rsidRDefault="005061E7" w:rsidP="00F30F22">
      <w:pPr>
        <w:pStyle w:val="Dotpoint1"/>
      </w:pPr>
      <w:r>
        <w:t>plans</w:t>
      </w:r>
      <w:r w:rsidR="00F23728" w:rsidRPr="00F23728">
        <w:t xml:space="preserve"> to complete Year 12</w:t>
      </w:r>
    </w:p>
    <w:p w:rsidR="00F23728" w:rsidRPr="00F23728" w:rsidRDefault="008A3466" w:rsidP="00F30F22">
      <w:pPr>
        <w:pStyle w:val="Dotpoint1"/>
      </w:pPr>
      <w:r>
        <w:t>aspirations</w:t>
      </w:r>
      <w:r w:rsidR="00F23728" w:rsidRPr="00F23728">
        <w:t xml:space="preserve"> to commence university study in the firs</w:t>
      </w:r>
      <w:r w:rsidR="000C1409">
        <w:t>t year after leaving school</w:t>
      </w:r>
    </w:p>
    <w:p w:rsidR="00F23728" w:rsidRPr="00F23728" w:rsidRDefault="00F23728" w:rsidP="00F30F22">
      <w:pPr>
        <w:pStyle w:val="Dotpoint1"/>
      </w:pPr>
      <w:r w:rsidRPr="00F23728">
        <w:t>oc</w:t>
      </w:r>
      <w:r w:rsidR="00921C8F">
        <w:t xml:space="preserve">cupational aspirations at age 15 </w:t>
      </w:r>
      <w:r w:rsidR="000C1409">
        <w:t>years vis-à-vis</w:t>
      </w:r>
      <w:r w:rsidR="00921C8F">
        <w:t xml:space="preserve"> the kind of job they</w:t>
      </w:r>
      <w:r w:rsidR="00921C8F" w:rsidRPr="00921C8F">
        <w:t xml:space="preserve"> expect to have </w:t>
      </w:r>
      <w:r w:rsidR="00921C8F">
        <w:t>at age 30</w:t>
      </w:r>
      <w:r w:rsidRPr="00F23728">
        <w:t>.</w:t>
      </w:r>
    </w:p>
    <w:p w:rsidR="003F3B92" w:rsidRDefault="00742DC5" w:rsidP="00F23728">
      <w:pPr>
        <w:pStyle w:val="Text"/>
      </w:pPr>
      <w:r>
        <w:t>In the LSAY—</w:t>
      </w:r>
      <w:r w:rsidR="00F23728" w:rsidRPr="00F23728">
        <w:t>PISA survey</w:t>
      </w:r>
      <w:r w:rsidR="00BE2502">
        <w:t>,</w:t>
      </w:r>
      <w:r w:rsidR="00F23728" w:rsidRPr="00F23728">
        <w:t xml:space="preserve"> students are asked at </w:t>
      </w:r>
      <w:r w:rsidR="00BE2502">
        <w:t xml:space="preserve">the </w:t>
      </w:r>
      <w:r w:rsidR="00F23728" w:rsidRPr="00F23728">
        <w:t xml:space="preserve">age </w:t>
      </w:r>
      <w:r w:rsidR="00BE2502">
        <w:t xml:space="preserve">of </w:t>
      </w:r>
      <w:r w:rsidR="00F23728" w:rsidRPr="00F23728">
        <w:t xml:space="preserve">15 </w:t>
      </w:r>
      <w:r w:rsidR="000C1409">
        <w:t xml:space="preserve">years </w:t>
      </w:r>
      <w:r w:rsidR="00F23728" w:rsidRPr="00F23728">
        <w:t xml:space="preserve">whether they plan to complete Year 12. The original answer choices comprise ‘(1) </w:t>
      </w:r>
      <w:r w:rsidR="00F23728" w:rsidRPr="000C1409">
        <w:t>Yes, I plan to complete Year 12’</w:t>
      </w:r>
      <w:r w:rsidR="00F23728" w:rsidRPr="00F23728">
        <w:t xml:space="preserve">, ‘(2) </w:t>
      </w:r>
      <w:r w:rsidR="00F23728" w:rsidRPr="000C1409">
        <w:t>No, I do not plan to complete Year 12</w:t>
      </w:r>
      <w:r w:rsidR="00F23728" w:rsidRPr="00F23728">
        <w:t xml:space="preserve">’ and ‘(3) </w:t>
      </w:r>
      <w:r w:rsidR="00F23728" w:rsidRPr="000C1409">
        <w:t>I am not sure at this time’</w:t>
      </w:r>
      <w:r w:rsidR="00F23728" w:rsidRPr="00F23728">
        <w:t xml:space="preserve">. </w:t>
      </w:r>
      <w:r w:rsidR="003F3B92">
        <w:t xml:space="preserve">Table </w:t>
      </w:r>
      <w:r w:rsidR="00075137">
        <w:t>1</w:t>
      </w:r>
      <w:r w:rsidR="003F3B92">
        <w:t xml:space="preserve"> lists the frequency of responses for each answer category.</w:t>
      </w:r>
    </w:p>
    <w:p w:rsidR="003F3B92" w:rsidRDefault="003F3B92" w:rsidP="002B1BE6">
      <w:pPr>
        <w:pStyle w:val="tabletitle"/>
      </w:pPr>
      <w:bookmarkStart w:id="43" w:name="_Toc377396978"/>
      <w:r>
        <w:t xml:space="preserve">Table </w:t>
      </w:r>
      <w:r w:rsidR="005A633E">
        <w:t>1</w:t>
      </w:r>
      <w:r>
        <w:tab/>
        <w:t>Frequency distribution for plans to complete Year 12</w:t>
      </w:r>
      <w:r w:rsidR="007E56E3">
        <w:t xml:space="preserve"> (unweighted)</w:t>
      </w:r>
      <w:bookmarkEnd w:id="43"/>
    </w:p>
    <w:tbl>
      <w:tblPr>
        <w:tblStyle w:val="TableGrid"/>
        <w:tblW w:w="66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347"/>
        <w:gridCol w:w="1347"/>
      </w:tblGrid>
      <w:tr w:rsidR="003F3B92" w:rsidRPr="00F30F22" w:rsidTr="00F30F22">
        <w:tc>
          <w:tcPr>
            <w:tcW w:w="3969" w:type="dxa"/>
            <w:tcBorders>
              <w:top w:val="single" w:sz="4" w:space="0" w:color="000000" w:themeColor="text1"/>
              <w:bottom w:val="single" w:sz="4" w:space="0" w:color="000000" w:themeColor="text1"/>
            </w:tcBorders>
          </w:tcPr>
          <w:p w:rsidR="003F3B92" w:rsidRPr="00F30F22" w:rsidRDefault="007E56E3" w:rsidP="00F30F22">
            <w:pPr>
              <w:pStyle w:val="Tablehead1"/>
            </w:pPr>
            <w:r w:rsidRPr="00F30F22">
              <w:t>Category</w:t>
            </w:r>
          </w:p>
        </w:tc>
        <w:tc>
          <w:tcPr>
            <w:tcW w:w="1347" w:type="dxa"/>
            <w:tcBorders>
              <w:top w:val="single" w:sz="4" w:space="0" w:color="000000" w:themeColor="text1"/>
              <w:bottom w:val="single" w:sz="4" w:space="0" w:color="000000" w:themeColor="text1"/>
            </w:tcBorders>
          </w:tcPr>
          <w:p w:rsidR="003F3B92" w:rsidRPr="00F30F22" w:rsidRDefault="003F3B92" w:rsidP="00F30F22">
            <w:pPr>
              <w:pStyle w:val="Tablehead1"/>
              <w:jc w:val="center"/>
            </w:pPr>
            <w:r w:rsidRPr="00F30F22">
              <w:t>n</w:t>
            </w:r>
          </w:p>
        </w:tc>
        <w:tc>
          <w:tcPr>
            <w:tcW w:w="1347" w:type="dxa"/>
            <w:tcBorders>
              <w:top w:val="single" w:sz="4" w:space="0" w:color="000000" w:themeColor="text1"/>
              <w:bottom w:val="single" w:sz="4" w:space="0" w:color="000000" w:themeColor="text1"/>
            </w:tcBorders>
          </w:tcPr>
          <w:p w:rsidR="003F3B92" w:rsidRPr="00F30F22" w:rsidRDefault="003F3B92" w:rsidP="00F30F22">
            <w:pPr>
              <w:pStyle w:val="Tablehead1"/>
              <w:jc w:val="center"/>
            </w:pPr>
            <w:r w:rsidRPr="00F30F22">
              <w:t>%</w:t>
            </w:r>
          </w:p>
        </w:tc>
      </w:tr>
      <w:tr w:rsidR="003F3B92" w:rsidTr="00F30F22">
        <w:tc>
          <w:tcPr>
            <w:tcW w:w="3969" w:type="dxa"/>
            <w:tcBorders>
              <w:top w:val="single" w:sz="4" w:space="0" w:color="000000" w:themeColor="text1"/>
            </w:tcBorders>
          </w:tcPr>
          <w:p w:rsidR="003F3B92" w:rsidRPr="003975E1" w:rsidRDefault="00122E0F" w:rsidP="003F3B92">
            <w:pPr>
              <w:pStyle w:val="Tabletext"/>
            </w:pPr>
            <w:r>
              <w:t>Plans</w:t>
            </w:r>
            <w:r w:rsidR="003F3B92" w:rsidRPr="003975E1">
              <w:t xml:space="preserve"> to complete Year 12</w:t>
            </w:r>
          </w:p>
        </w:tc>
        <w:tc>
          <w:tcPr>
            <w:tcW w:w="1347" w:type="dxa"/>
            <w:tcBorders>
              <w:top w:val="single" w:sz="4" w:space="0" w:color="000000" w:themeColor="text1"/>
            </w:tcBorders>
          </w:tcPr>
          <w:p w:rsidR="003F3B92" w:rsidRDefault="00B37D3F" w:rsidP="006141D5">
            <w:pPr>
              <w:pStyle w:val="Tabletext"/>
              <w:ind w:right="312"/>
              <w:jc w:val="right"/>
            </w:pPr>
            <w:r>
              <w:t xml:space="preserve">10 </w:t>
            </w:r>
            <w:r w:rsidR="002B1BE6">
              <w:t>684</w:t>
            </w:r>
          </w:p>
        </w:tc>
        <w:tc>
          <w:tcPr>
            <w:tcW w:w="1347" w:type="dxa"/>
            <w:tcBorders>
              <w:top w:val="single" w:sz="4" w:space="0" w:color="000000" w:themeColor="text1"/>
            </w:tcBorders>
          </w:tcPr>
          <w:p w:rsidR="003F3B92" w:rsidRDefault="002B1BE6" w:rsidP="006141D5">
            <w:pPr>
              <w:pStyle w:val="Tabletext"/>
              <w:tabs>
                <w:tab w:val="decimal" w:pos="510"/>
              </w:tabs>
            </w:pPr>
            <w:r>
              <w:t>74.97</w:t>
            </w:r>
          </w:p>
        </w:tc>
      </w:tr>
      <w:tr w:rsidR="003F3B92" w:rsidTr="00F30F22">
        <w:tc>
          <w:tcPr>
            <w:tcW w:w="3969" w:type="dxa"/>
          </w:tcPr>
          <w:p w:rsidR="003F3B92" w:rsidRPr="003975E1" w:rsidRDefault="00122E0F" w:rsidP="003F3B92">
            <w:pPr>
              <w:pStyle w:val="Tabletext"/>
            </w:pPr>
            <w:r>
              <w:t>Does</w:t>
            </w:r>
            <w:r w:rsidR="003F3B92" w:rsidRPr="003975E1">
              <w:t xml:space="preserve"> not plan to complete Year 12</w:t>
            </w:r>
          </w:p>
        </w:tc>
        <w:tc>
          <w:tcPr>
            <w:tcW w:w="1347" w:type="dxa"/>
          </w:tcPr>
          <w:p w:rsidR="003F3B92" w:rsidRDefault="002B1BE6" w:rsidP="006141D5">
            <w:pPr>
              <w:pStyle w:val="Tabletext"/>
              <w:ind w:right="312"/>
              <w:jc w:val="right"/>
            </w:pPr>
            <w:r>
              <w:t>659</w:t>
            </w:r>
          </w:p>
        </w:tc>
        <w:tc>
          <w:tcPr>
            <w:tcW w:w="1347" w:type="dxa"/>
          </w:tcPr>
          <w:p w:rsidR="003F3B92" w:rsidRDefault="002B1BE6" w:rsidP="006141D5">
            <w:pPr>
              <w:pStyle w:val="Tabletext"/>
              <w:tabs>
                <w:tab w:val="decimal" w:pos="510"/>
              </w:tabs>
            </w:pPr>
            <w:r>
              <w:t>4.62</w:t>
            </w:r>
          </w:p>
        </w:tc>
      </w:tr>
      <w:tr w:rsidR="003F3B92" w:rsidTr="006141D5">
        <w:tc>
          <w:tcPr>
            <w:tcW w:w="3969" w:type="dxa"/>
          </w:tcPr>
          <w:p w:rsidR="003F3B92" w:rsidRPr="003975E1" w:rsidRDefault="00122E0F" w:rsidP="003F3B92">
            <w:pPr>
              <w:pStyle w:val="Tabletext"/>
            </w:pPr>
            <w:r>
              <w:t>N</w:t>
            </w:r>
            <w:r w:rsidR="003F3B92" w:rsidRPr="003975E1">
              <w:t>ot sure at this time</w:t>
            </w:r>
          </w:p>
        </w:tc>
        <w:tc>
          <w:tcPr>
            <w:tcW w:w="1347" w:type="dxa"/>
          </w:tcPr>
          <w:p w:rsidR="003F3B92" w:rsidRDefault="00B37D3F" w:rsidP="006141D5">
            <w:pPr>
              <w:pStyle w:val="Tabletext"/>
              <w:ind w:right="312"/>
              <w:jc w:val="right"/>
            </w:pPr>
            <w:r>
              <w:t xml:space="preserve">1 </w:t>
            </w:r>
            <w:r w:rsidR="002B1BE6">
              <w:t>129</w:t>
            </w:r>
          </w:p>
        </w:tc>
        <w:tc>
          <w:tcPr>
            <w:tcW w:w="1347" w:type="dxa"/>
          </w:tcPr>
          <w:p w:rsidR="003F3B92" w:rsidRDefault="002B1BE6" w:rsidP="006141D5">
            <w:pPr>
              <w:pStyle w:val="Tabletext"/>
              <w:tabs>
                <w:tab w:val="decimal" w:pos="510"/>
              </w:tabs>
            </w:pPr>
            <w:r>
              <w:t>7.92</w:t>
            </w:r>
          </w:p>
        </w:tc>
      </w:tr>
      <w:tr w:rsidR="002B1BE6" w:rsidRPr="007A3D94" w:rsidTr="006141D5">
        <w:tc>
          <w:tcPr>
            <w:tcW w:w="3969" w:type="dxa"/>
          </w:tcPr>
          <w:p w:rsidR="002B1BE6" w:rsidRPr="007A3D94" w:rsidRDefault="002B1BE6" w:rsidP="004B6514">
            <w:pPr>
              <w:pStyle w:val="Tabletext"/>
              <w:rPr>
                <w:i/>
              </w:rPr>
            </w:pPr>
            <w:r w:rsidRPr="007A3D94">
              <w:rPr>
                <w:i/>
              </w:rPr>
              <w:t>Missing</w:t>
            </w:r>
            <w:r w:rsidR="004B6514" w:rsidRPr="004B6514">
              <w:rPr>
                <w:i/>
                <w:vertAlign w:val="superscript"/>
              </w:rPr>
              <w:t>1</w:t>
            </w:r>
          </w:p>
        </w:tc>
        <w:tc>
          <w:tcPr>
            <w:tcW w:w="1347" w:type="dxa"/>
          </w:tcPr>
          <w:p w:rsidR="002B1BE6" w:rsidRPr="007A3D94" w:rsidRDefault="00B37D3F" w:rsidP="006141D5">
            <w:pPr>
              <w:pStyle w:val="Tabletext"/>
              <w:ind w:right="312"/>
              <w:jc w:val="right"/>
              <w:rPr>
                <w:i/>
              </w:rPr>
            </w:pPr>
            <w:r w:rsidRPr="007A3D94">
              <w:rPr>
                <w:i/>
              </w:rPr>
              <w:t xml:space="preserve">1 </w:t>
            </w:r>
            <w:r w:rsidR="002B1BE6" w:rsidRPr="007A3D94">
              <w:rPr>
                <w:i/>
              </w:rPr>
              <w:t>779</w:t>
            </w:r>
          </w:p>
        </w:tc>
        <w:tc>
          <w:tcPr>
            <w:tcW w:w="1347" w:type="dxa"/>
          </w:tcPr>
          <w:p w:rsidR="002B1BE6" w:rsidRPr="007A3D94" w:rsidRDefault="002B1BE6" w:rsidP="006141D5">
            <w:pPr>
              <w:pStyle w:val="Tabletext"/>
              <w:tabs>
                <w:tab w:val="decimal" w:pos="510"/>
              </w:tabs>
              <w:rPr>
                <w:i/>
              </w:rPr>
            </w:pPr>
            <w:r w:rsidRPr="007A3D94">
              <w:rPr>
                <w:i/>
              </w:rPr>
              <w:t>12.48</w:t>
            </w:r>
          </w:p>
        </w:tc>
      </w:tr>
      <w:tr w:rsidR="002B1BE6" w:rsidRPr="003975E1" w:rsidTr="006141D5">
        <w:tc>
          <w:tcPr>
            <w:tcW w:w="3969" w:type="dxa"/>
            <w:tcBorders>
              <w:bottom w:val="single" w:sz="4" w:space="0" w:color="000000" w:themeColor="text1"/>
            </w:tcBorders>
          </w:tcPr>
          <w:p w:rsidR="002B1BE6" w:rsidRPr="003975E1" w:rsidRDefault="002B1BE6" w:rsidP="003F3B92">
            <w:pPr>
              <w:pStyle w:val="Tabletext"/>
              <w:rPr>
                <w:b/>
              </w:rPr>
            </w:pPr>
            <w:r w:rsidRPr="003975E1">
              <w:rPr>
                <w:b/>
              </w:rPr>
              <w:t>Total</w:t>
            </w:r>
          </w:p>
        </w:tc>
        <w:tc>
          <w:tcPr>
            <w:tcW w:w="1347" w:type="dxa"/>
            <w:tcBorders>
              <w:bottom w:val="single" w:sz="4" w:space="0" w:color="000000" w:themeColor="text1"/>
            </w:tcBorders>
          </w:tcPr>
          <w:p w:rsidR="002B1BE6" w:rsidRPr="003975E1" w:rsidRDefault="00B37D3F" w:rsidP="006141D5">
            <w:pPr>
              <w:pStyle w:val="Tabletext"/>
              <w:ind w:right="312"/>
              <w:jc w:val="right"/>
              <w:rPr>
                <w:b/>
              </w:rPr>
            </w:pPr>
            <w:r>
              <w:rPr>
                <w:b/>
              </w:rPr>
              <w:t xml:space="preserve">14 </w:t>
            </w:r>
            <w:r w:rsidR="002B1BE6" w:rsidRPr="003975E1">
              <w:rPr>
                <w:b/>
              </w:rPr>
              <w:t>251</w:t>
            </w:r>
          </w:p>
        </w:tc>
        <w:tc>
          <w:tcPr>
            <w:tcW w:w="1347" w:type="dxa"/>
            <w:tcBorders>
              <w:bottom w:val="single" w:sz="4" w:space="0" w:color="000000" w:themeColor="text1"/>
            </w:tcBorders>
          </w:tcPr>
          <w:p w:rsidR="002B1BE6" w:rsidRPr="003975E1" w:rsidRDefault="002B1BE6" w:rsidP="006141D5">
            <w:pPr>
              <w:pStyle w:val="Tabletext"/>
              <w:tabs>
                <w:tab w:val="decimal" w:pos="510"/>
              </w:tabs>
              <w:rPr>
                <w:b/>
              </w:rPr>
            </w:pPr>
            <w:r w:rsidRPr="003975E1">
              <w:rPr>
                <w:b/>
              </w:rPr>
              <w:t>100.00</w:t>
            </w:r>
          </w:p>
        </w:tc>
      </w:tr>
    </w:tbl>
    <w:p w:rsidR="00DA23A3" w:rsidRPr="00DA23A3" w:rsidRDefault="00DA23A3" w:rsidP="00F30F22">
      <w:pPr>
        <w:pStyle w:val="Source"/>
      </w:pPr>
      <w:r w:rsidRPr="00DA23A3">
        <w:t>Note:</w:t>
      </w:r>
      <w:r w:rsidR="00F30F22">
        <w:tab/>
      </w:r>
      <w:r w:rsidR="00742DC5">
        <w:t>1</w:t>
      </w:r>
      <w:r w:rsidR="004B6514">
        <w:t xml:space="preserve"> </w:t>
      </w:r>
      <w:r w:rsidRPr="00DA23A3">
        <w:t>Some of the variables in the LSAY 2009 base year dataset have missing data.</w:t>
      </w:r>
      <w:r w:rsidR="004B6514">
        <w:rPr>
          <w:rStyle w:val="FootnoteReference"/>
          <w:sz w:val="16"/>
          <w:szCs w:val="16"/>
        </w:rPr>
        <w:footnoteReference w:id="4"/>
      </w:r>
    </w:p>
    <w:p w:rsidR="00F23728" w:rsidRPr="00F23728" w:rsidRDefault="00F23728" w:rsidP="006141D5">
      <w:pPr>
        <w:pStyle w:val="Textmorebefore"/>
      </w:pPr>
      <w:r w:rsidRPr="00F23728">
        <w:t>For the purpose of this study, answer choices were dichotomised, whereby option</w:t>
      </w:r>
      <w:r w:rsidR="00921C8F">
        <w:t>s</w:t>
      </w:r>
      <w:r w:rsidRPr="00F23728">
        <w:t xml:space="preserve"> </w:t>
      </w:r>
      <w:r w:rsidR="00921C8F">
        <w:t xml:space="preserve">2 and </w:t>
      </w:r>
      <w:r w:rsidRPr="00F23728">
        <w:t xml:space="preserve">3 </w:t>
      </w:r>
      <w:r w:rsidR="00921C8F">
        <w:t>were grouped together</w:t>
      </w:r>
      <w:r w:rsidRPr="00F23728">
        <w:t>.</w:t>
      </w:r>
      <w:r w:rsidR="003975E1">
        <w:t xml:space="preserve"> T</w:t>
      </w:r>
      <w:r w:rsidR="005916B3">
        <w:t>his wa</w:t>
      </w:r>
      <w:r w:rsidR="005061E7">
        <w:t xml:space="preserve">s based on the rationale </w:t>
      </w:r>
      <w:r w:rsidR="003975E1">
        <w:t xml:space="preserve">that </w:t>
      </w:r>
      <w:r w:rsidR="002E0E5B">
        <w:t xml:space="preserve">lacking </w:t>
      </w:r>
      <w:r w:rsidR="00075137">
        <w:t>a</w:t>
      </w:r>
      <w:r w:rsidR="002E0E5B">
        <w:t xml:space="preserve"> clear intent to complete Year 12 </w:t>
      </w:r>
      <w:r w:rsidR="005061E7">
        <w:t>i</w:t>
      </w:r>
      <w:r w:rsidR="00075137">
        <w:t>s qualitatively different from planning to complete</w:t>
      </w:r>
      <w:r w:rsidR="002E0E5B">
        <w:t>.</w:t>
      </w:r>
    </w:p>
    <w:p w:rsidR="007E56E3" w:rsidRDefault="001C4C15" w:rsidP="006141D5">
      <w:pPr>
        <w:pStyle w:val="Text"/>
        <w:ind w:right="-143"/>
        <w:rPr>
          <w:rFonts w:ascii="Tahoma" w:hAnsi="Tahoma"/>
          <w:b/>
          <w:sz w:val="17"/>
        </w:rPr>
      </w:pPr>
      <w:r>
        <w:t>LSAY r</w:t>
      </w:r>
      <w:r w:rsidR="00F23728" w:rsidRPr="00F23728">
        <w:t xml:space="preserve">espondents are also asked about their plans </w:t>
      </w:r>
      <w:r w:rsidR="000C1409">
        <w:t>for</w:t>
      </w:r>
      <w:r w:rsidR="00F23728" w:rsidRPr="00F23728">
        <w:t xml:space="preserve"> the year immediately after they leave school. Answer choices comprise a wide variety of options, such as going to university, </w:t>
      </w:r>
      <w:r w:rsidR="00921C8F">
        <w:t xml:space="preserve">vocational </w:t>
      </w:r>
      <w:r w:rsidR="00F23728" w:rsidRPr="00F23728">
        <w:t xml:space="preserve">training options, </w:t>
      </w:r>
      <w:r w:rsidR="00921C8F">
        <w:t>travel and</w:t>
      </w:r>
      <w:r w:rsidR="00F23728" w:rsidRPr="00F23728">
        <w:t xml:space="preserve"> others. To create the second outcome measure for this study, answer options were </w:t>
      </w:r>
      <w:r w:rsidR="00F23728" w:rsidRPr="00F23728">
        <w:lastRenderedPageBreak/>
        <w:t xml:space="preserve">reduced to either </w:t>
      </w:r>
      <w:r w:rsidR="00277EAB">
        <w:t>planning to go</w:t>
      </w:r>
      <w:r w:rsidR="00F23728" w:rsidRPr="00F23728">
        <w:t xml:space="preserve"> to university or not </w:t>
      </w:r>
      <w:r w:rsidR="00277EAB">
        <w:t xml:space="preserve">planning to </w:t>
      </w:r>
      <w:r w:rsidR="00F23728" w:rsidRPr="00F23728">
        <w:t>go to university</w:t>
      </w:r>
      <w:r w:rsidR="00921C8F">
        <w:t xml:space="preserve"> in the year </w:t>
      </w:r>
      <w:r w:rsidR="00B16DBE">
        <w:t xml:space="preserve">immediately </w:t>
      </w:r>
      <w:r w:rsidR="00921C8F">
        <w:t xml:space="preserve">after </w:t>
      </w:r>
      <w:r w:rsidR="00B16DBE">
        <w:t>leaving school</w:t>
      </w:r>
      <w:r w:rsidR="000C1409">
        <w:t>.</w:t>
      </w:r>
      <w:r w:rsidR="008625CD">
        <w:rPr>
          <w:rStyle w:val="FootnoteReference"/>
        </w:rPr>
        <w:footnoteReference w:id="5"/>
      </w:r>
      <w:r w:rsidR="007E56E3">
        <w:t xml:space="preserve"> Table </w:t>
      </w:r>
      <w:r w:rsidR="007A3D94">
        <w:t>2</w:t>
      </w:r>
      <w:r w:rsidR="007E56E3">
        <w:t xml:space="preserve"> provides the frequency distribution for university aspirations.</w:t>
      </w:r>
    </w:p>
    <w:p w:rsidR="007E56E3" w:rsidRDefault="007E56E3" w:rsidP="007E56E3">
      <w:pPr>
        <w:pStyle w:val="tabletitle"/>
      </w:pPr>
      <w:bookmarkStart w:id="44" w:name="_Toc377396979"/>
      <w:r>
        <w:t xml:space="preserve">Table </w:t>
      </w:r>
      <w:r w:rsidR="007A3D94">
        <w:t>2</w:t>
      </w:r>
      <w:r>
        <w:tab/>
        <w:t>Frequency distribution for aspiring to attend university (unweighted)</w:t>
      </w:r>
      <w:bookmarkEnd w:id="44"/>
    </w:p>
    <w:tbl>
      <w:tblPr>
        <w:tblStyle w:val="TableGrid"/>
        <w:tblW w:w="68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346"/>
        <w:gridCol w:w="1347"/>
      </w:tblGrid>
      <w:tr w:rsidR="007E56E3" w:rsidRPr="006141D5" w:rsidTr="006141D5">
        <w:tc>
          <w:tcPr>
            <w:tcW w:w="4111" w:type="dxa"/>
            <w:tcBorders>
              <w:top w:val="single" w:sz="4" w:space="0" w:color="000000" w:themeColor="text1"/>
              <w:bottom w:val="single" w:sz="4" w:space="0" w:color="000000" w:themeColor="text1"/>
            </w:tcBorders>
          </w:tcPr>
          <w:p w:rsidR="007E56E3" w:rsidRPr="006141D5" w:rsidRDefault="007E56E3" w:rsidP="006141D5">
            <w:pPr>
              <w:pStyle w:val="Tablehead1"/>
            </w:pPr>
            <w:r w:rsidRPr="006141D5">
              <w:t>Category</w:t>
            </w:r>
          </w:p>
        </w:tc>
        <w:tc>
          <w:tcPr>
            <w:tcW w:w="1346" w:type="dxa"/>
            <w:tcBorders>
              <w:top w:val="single" w:sz="4" w:space="0" w:color="000000" w:themeColor="text1"/>
              <w:bottom w:val="single" w:sz="4" w:space="0" w:color="000000" w:themeColor="text1"/>
            </w:tcBorders>
          </w:tcPr>
          <w:p w:rsidR="007E56E3" w:rsidRPr="006141D5" w:rsidRDefault="007E56E3" w:rsidP="006141D5">
            <w:pPr>
              <w:pStyle w:val="Tablehead1"/>
              <w:jc w:val="center"/>
            </w:pPr>
            <w:r w:rsidRPr="006141D5">
              <w:t>n</w:t>
            </w:r>
          </w:p>
        </w:tc>
        <w:tc>
          <w:tcPr>
            <w:tcW w:w="1347" w:type="dxa"/>
            <w:tcBorders>
              <w:top w:val="single" w:sz="4" w:space="0" w:color="000000" w:themeColor="text1"/>
              <w:bottom w:val="single" w:sz="4" w:space="0" w:color="000000" w:themeColor="text1"/>
            </w:tcBorders>
          </w:tcPr>
          <w:p w:rsidR="007E56E3" w:rsidRPr="006141D5" w:rsidRDefault="007E56E3" w:rsidP="006141D5">
            <w:pPr>
              <w:pStyle w:val="Tablehead1"/>
              <w:jc w:val="center"/>
            </w:pPr>
            <w:r w:rsidRPr="006141D5">
              <w:t>%</w:t>
            </w:r>
          </w:p>
        </w:tc>
      </w:tr>
      <w:tr w:rsidR="007E56E3" w:rsidTr="006141D5">
        <w:tc>
          <w:tcPr>
            <w:tcW w:w="4111" w:type="dxa"/>
            <w:tcBorders>
              <w:top w:val="single" w:sz="4" w:space="0" w:color="000000" w:themeColor="text1"/>
            </w:tcBorders>
          </w:tcPr>
          <w:p w:rsidR="007E56E3" w:rsidRDefault="00122E0F" w:rsidP="007E56E3">
            <w:pPr>
              <w:pStyle w:val="Tabletext"/>
            </w:pPr>
            <w:r>
              <w:t>Aspires to attend university</w:t>
            </w:r>
          </w:p>
        </w:tc>
        <w:tc>
          <w:tcPr>
            <w:tcW w:w="1346" w:type="dxa"/>
            <w:tcBorders>
              <w:top w:val="single" w:sz="4" w:space="0" w:color="000000" w:themeColor="text1"/>
            </w:tcBorders>
          </w:tcPr>
          <w:p w:rsidR="007E56E3" w:rsidRDefault="00B37D3F" w:rsidP="006141D5">
            <w:pPr>
              <w:pStyle w:val="Tabletext"/>
              <w:ind w:right="369"/>
              <w:jc w:val="right"/>
            </w:pPr>
            <w:r>
              <w:t xml:space="preserve">4 </w:t>
            </w:r>
            <w:r w:rsidR="00122E0F">
              <w:t>185</w:t>
            </w:r>
          </w:p>
        </w:tc>
        <w:tc>
          <w:tcPr>
            <w:tcW w:w="1347" w:type="dxa"/>
            <w:tcBorders>
              <w:top w:val="single" w:sz="4" w:space="0" w:color="000000" w:themeColor="text1"/>
            </w:tcBorders>
          </w:tcPr>
          <w:p w:rsidR="007E56E3" w:rsidRDefault="00122E0F" w:rsidP="006141D5">
            <w:pPr>
              <w:pStyle w:val="Tabletext"/>
              <w:tabs>
                <w:tab w:val="decimal" w:pos="510"/>
              </w:tabs>
            </w:pPr>
            <w:r>
              <w:t>29.37</w:t>
            </w:r>
          </w:p>
        </w:tc>
      </w:tr>
      <w:tr w:rsidR="007E56E3" w:rsidTr="006141D5">
        <w:tc>
          <w:tcPr>
            <w:tcW w:w="4111" w:type="dxa"/>
          </w:tcPr>
          <w:p w:rsidR="007E56E3" w:rsidRDefault="00122E0F" w:rsidP="007E56E3">
            <w:pPr>
              <w:pStyle w:val="Tabletext"/>
            </w:pPr>
            <w:r>
              <w:t>Does not aspire to attend university</w:t>
            </w:r>
          </w:p>
        </w:tc>
        <w:tc>
          <w:tcPr>
            <w:tcW w:w="1346" w:type="dxa"/>
          </w:tcPr>
          <w:p w:rsidR="007E56E3" w:rsidRDefault="00B37D3F" w:rsidP="006141D5">
            <w:pPr>
              <w:pStyle w:val="Tabletext"/>
              <w:ind w:right="369"/>
              <w:jc w:val="right"/>
            </w:pPr>
            <w:r>
              <w:t xml:space="preserve">4 </w:t>
            </w:r>
            <w:r w:rsidR="00122E0F">
              <w:t>518</w:t>
            </w:r>
          </w:p>
        </w:tc>
        <w:tc>
          <w:tcPr>
            <w:tcW w:w="1347" w:type="dxa"/>
          </w:tcPr>
          <w:p w:rsidR="007E56E3" w:rsidRDefault="00122E0F" w:rsidP="006141D5">
            <w:pPr>
              <w:pStyle w:val="Tabletext"/>
              <w:tabs>
                <w:tab w:val="decimal" w:pos="510"/>
              </w:tabs>
            </w:pPr>
            <w:r>
              <w:t>31.70</w:t>
            </w:r>
          </w:p>
        </w:tc>
      </w:tr>
      <w:tr w:rsidR="007E56E3" w:rsidRPr="007A3D94" w:rsidTr="006141D5">
        <w:tc>
          <w:tcPr>
            <w:tcW w:w="4111" w:type="dxa"/>
          </w:tcPr>
          <w:p w:rsidR="007E56E3" w:rsidRPr="007A3D94" w:rsidRDefault="00122E0F" w:rsidP="007E56E3">
            <w:pPr>
              <w:pStyle w:val="Tabletext"/>
              <w:rPr>
                <w:i/>
              </w:rPr>
            </w:pPr>
            <w:r w:rsidRPr="007A3D94">
              <w:rPr>
                <w:i/>
              </w:rPr>
              <w:t>Missing</w:t>
            </w:r>
          </w:p>
        </w:tc>
        <w:tc>
          <w:tcPr>
            <w:tcW w:w="1346" w:type="dxa"/>
          </w:tcPr>
          <w:p w:rsidR="007E56E3" w:rsidRPr="007A3D94" w:rsidRDefault="00B37D3F" w:rsidP="006141D5">
            <w:pPr>
              <w:pStyle w:val="Tabletext"/>
              <w:ind w:right="369"/>
              <w:jc w:val="right"/>
              <w:rPr>
                <w:i/>
              </w:rPr>
            </w:pPr>
            <w:r w:rsidRPr="007A3D94">
              <w:rPr>
                <w:i/>
              </w:rPr>
              <w:t xml:space="preserve">5 </w:t>
            </w:r>
            <w:r w:rsidR="00122E0F" w:rsidRPr="007A3D94">
              <w:rPr>
                <w:i/>
              </w:rPr>
              <w:t>548</w:t>
            </w:r>
          </w:p>
        </w:tc>
        <w:tc>
          <w:tcPr>
            <w:tcW w:w="1347" w:type="dxa"/>
          </w:tcPr>
          <w:p w:rsidR="007E56E3" w:rsidRPr="007A3D94" w:rsidRDefault="00122E0F" w:rsidP="006141D5">
            <w:pPr>
              <w:pStyle w:val="Tabletext"/>
              <w:tabs>
                <w:tab w:val="decimal" w:pos="510"/>
              </w:tabs>
              <w:rPr>
                <w:i/>
              </w:rPr>
            </w:pPr>
            <w:r w:rsidRPr="007A3D94">
              <w:rPr>
                <w:i/>
              </w:rPr>
              <w:t>38.93</w:t>
            </w:r>
          </w:p>
        </w:tc>
      </w:tr>
      <w:tr w:rsidR="007E56E3" w:rsidRPr="00B37D3F" w:rsidTr="006141D5">
        <w:tc>
          <w:tcPr>
            <w:tcW w:w="4111" w:type="dxa"/>
            <w:tcBorders>
              <w:bottom w:val="single" w:sz="4" w:space="0" w:color="000000" w:themeColor="text1"/>
            </w:tcBorders>
          </w:tcPr>
          <w:p w:rsidR="007E56E3" w:rsidRPr="00B37D3F" w:rsidRDefault="00122E0F" w:rsidP="007E56E3">
            <w:pPr>
              <w:pStyle w:val="Tabletext"/>
              <w:rPr>
                <w:b/>
              </w:rPr>
            </w:pPr>
            <w:r w:rsidRPr="00B37D3F">
              <w:rPr>
                <w:b/>
              </w:rPr>
              <w:t>Total</w:t>
            </w:r>
          </w:p>
        </w:tc>
        <w:tc>
          <w:tcPr>
            <w:tcW w:w="1346" w:type="dxa"/>
            <w:tcBorders>
              <w:bottom w:val="single" w:sz="4" w:space="0" w:color="000000" w:themeColor="text1"/>
            </w:tcBorders>
          </w:tcPr>
          <w:p w:rsidR="007E56E3" w:rsidRPr="00B37D3F" w:rsidRDefault="00B37D3F" w:rsidP="006141D5">
            <w:pPr>
              <w:pStyle w:val="Tabletext"/>
              <w:ind w:right="369"/>
              <w:jc w:val="right"/>
              <w:rPr>
                <w:b/>
              </w:rPr>
            </w:pPr>
            <w:r w:rsidRPr="00B37D3F">
              <w:rPr>
                <w:b/>
              </w:rPr>
              <w:t>14 251</w:t>
            </w:r>
          </w:p>
        </w:tc>
        <w:tc>
          <w:tcPr>
            <w:tcW w:w="1347" w:type="dxa"/>
            <w:tcBorders>
              <w:bottom w:val="single" w:sz="4" w:space="0" w:color="000000" w:themeColor="text1"/>
            </w:tcBorders>
          </w:tcPr>
          <w:p w:rsidR="007E56E3" w:rsidRPr="00B37D3F" w:rsidRDefault="00B37D3F" w:rsidP="006141D5">
            <w:pPr>
              <w:pStyle w:val="Tabletext"/>
              <w:tabs>
                <w:tab w:val="decimal" w:pos="510"/>
              </w:tabs>
              <w:rPr>
                <w:b/>
              </w:rPr>
            </w:pPr>
            <w:r w:rsidRPr="00B37D3F">
              <w:rPr>
                <w:b/>
              </w:rPr>
              <w:t>100.00</w:t>
            </w:r>
          </w:p>
        </w:tc>
      </w:tr>
    </w:tbl>
    <w:p w:rsidR="00F23728" w:rsidRDefault="00F23728" w:rsidP="006141D5">
      <w:pPr>
        <w:pStyle w:val="Textmorebefore"/>
      </w:pPr>
      <w:r w:rsidRPr="00F23728">
        <w:t xml:space="preserve">The final outcome measure, students’ occupational aspirations, was constructed from a survey item asking about the kind of job </w:t>
      </w:r>
      <w:r w:rsidR="00747A10">
        <w:t xml:space="preserve">that </w:t>
      </w:r>
      <w:r w:rsidRPr="00F23728">
        <w:t>respondents expect to have at age</w:t>
      </w:r>
      <w:r w:rsidR="00277EAB">
        <w:t xml:space="preserve"> 30</w:t>
      </w:r>
      <w:r w:rsidR="007D72D8">
        <w:t xml:space="preserve"> years</w:t>
      </w:r>
      <w:r w:rsidR="00277EAB">
        <w:t xml:space="preserve">. Answers were </w:t>
      </w:r>
      <w:r w:rsidR="004B6514">
        <w:t>transposed</w:t>
      </w:r>
      <w:r w:rsidR="00277EAB">
        <w:t xml:space="preserve"> </w:t>
      </w:r>
      <w:r w:rsidRPr="00F23728">
        <w:t xml:space="preserve">to the Australian Socioeconomic Index 2006 </w:t>
      </w:r>
      <w:r w:rsidR="00277EAB">
        <w:t xml:space="preserve">scale </w:t>
      </w:r>
      <w:r w:rsidRPr="00F23728">
        <w:t>(A</w:t>
      </w:r>
      <w:r w:rsidR="00FC0A85">
        <w:t>USEI06; McMillan, Jones &amp; Beavis</w:t>
      </w:r>
      <w:r w:rsidRPr="00F23728">
        <w:t xml:space="preserve"> 2009), which is a continuous measure of occupational status</w:t>
      </w:r>
      <w:r w:rsidR="00FC0A85">
        <w:t>,</w:t>
      </w:r>
      <w:r w:rsidRPr="00F23728">
        <w:t xml:space="preserve"> ranging from 0 (low status) to 100 (high status).</w:t>
      </w:r>
      <w:r w:rsidR="002403A9">
        <w:t xml:space="preserve"> </w:t>
      </w:r>
      <w:r w:rsidR="001C4C15" w:rsidRPr="001C4C15">
        <w:t>Examples of AUSEI06 scores, along with their respective occupations</w:t>
      </w:r>
      <w:r w:rsidR="001C4C15">
        <w:t>, are provided in t</w:t>
      </w:r>
      <w:r w:rsidR="001C4C15" w:rsidRPr="001C4C15">
        <w:t xml:space="preserve">able </w:t>
      </w:r>
      <w:r w:rsidR="00FC0A85">
        <w:t>3, while</w:t>
      </w:r>
      <w:r w:rsidR="001C4C15">
        <w:t xml:space="preserve"> </w:t>
      </w:r>
      <w:r w:rsidR="00B37D3F">
        <w:t>descriptive</w:t>
      </w:r>
      <w:r w:rsidRPr="00F23728">
        <w:t xml:space="preserve"> statistics for </w:t>
      </w:r>
      <w:r w:rsidR="00B37D3F">
        <w:t>the occupational aspirations outcome</w:t>
      </w:r>
      <w:r w:rsidR="001C4C15">
        <w:t xml:space="preserve"> are </w:t>
      </w:r>
      <w:r w:rsidR="00FC0A85">
        <w:t>given</w:t>
      </w:r>
      <w:r w:rsidR="001C4C15">
        <w:t xml:space="preserve"> in table 4</w:t>
      </w:r>
      <w:r w:rsidRPr="00F23728">
        <w:t>.</w:t>
      </w:r>
    </w:p>
    <w:p w:rsidR="001C4C15" w:rsidRDefault="001C4C15" w:rsidP="001C4C15">
      <w:pPr>
        <w:pStyle w:val="tabletitle"/>
      </w:pPr>
      <w:bookmarkStart w:id="45" w:name="_Toc377396980"/>
      <w:r>
        <w:t>Table 3</w:t>
      </w:r>
      <w:r>
        <w:tab/>
      </w:r>
      <w:r w:rsidR="007C6571">
        <w:t>Examples of AUSEI06 occupational status s</w:t>
      </w:r>
      <w:r w:rsidRPr="001C4C15">
        <w:t>cores</w:t>
      </w:r>
      <w:bookmarkEnd w:id="45"/>
    </w:p>
    <w:tbl>
      <w:tblPr>
        <w:tblStyle w:val="TableGrid"/>
        <w:tblW w:w="68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701"/>
      </w:tblGrid>
      <w:tr w:rsidR="001C4C15" w:rsidRPr="006141D5" w:rsidTr="006141D5">
        <w:tc>
          <w:tcPr>
            <w:tcW w:w="5103" w:type="dxa"/>
            <w:tcBorders>
              <w:top w:val="single" w:sz="4" w:space="0" w:color="000000" w:themeColor="text1"/>
              <w:bottom w:val="single" w:sz="4" w:space="0" w:color="000000" w:themeColor="text1"/>
            </w:tcBorders>
          </w:tcPr>
          <w:p w:rsidR="001C4C15" w:rsidRPr="006141D5" w:rsidRDefault="001C4C15" w:rsidP="006141D5">
            <w:pPr>
              <w:pStyle w:val="Tablehead1"/>
            </w:pPr>
            <w:r w:rsidRPr="006141D5">
              <w:t>Occupation</w:t>
            </w:r>
          </w:p>
        </w:tc>
        <w:tc>
          <w:tcPr>
            <w:tcW w:w="1701" w:type="dxa"/>
            <w:tcBorders>
              <w:top w:val="single" w:sz="4" w:space="0" w:color="000000" w:themeColor="text1"/>
              <w:bottom w:val="single" w:sz="4" w:space="0" w:color="000000" w:themeColor="text1"/>
            </w:tcBorders>
          </w:tcPr>
          <w:p w:rsidR="001C4C15" w:rsidRPr="006141D5" w:rsidRDefault="001C4C15" w:rsidP="006141D5">
            <w:pPr>
              <w:pStyle w:val="Tablehead1"/>
              <w:jc w:val="center"/>
            </w:pPr>
            <w:r w:rsidRPr="006141D5">
              <w:t xml:space="preserve">AUSEI06 </w:t>
            </w:r>
            <w:r w:rsidR="006141D5">
              <w:t>s</w:t>
            </w:r>
            <w:r w:rsidRPr="006141D5">
              <w:t>cores</w:t>
            </w:r>
          </w:p>
        </w:tc>
      </w:tr>
      <w:tr w:rsidR="001C4C15" w:rsidRPr="001C4C15" w:rsidTr="006141D5">
        <w:tc>
          <w:tcPr>
            <w:tcW w:w="5103" w:type="dxa"/>
            <w:tcBorders>
              <w:top w:val="single" w:sz="4" w:space="0" w:color="000000" w:themeColor="text1"/>
            </w:tcBorders>
          </w:tcPr>
          <w:p w:rsidR="001C4C15" w:rsidRPr="001C4C15" w:rsidRDefault="001C4C15" w:rsidP="001C4C15">
            <w:pPr>
              <w:pStyle w:val="Tabletext"/>
              <w:rPr>
                <w:lang w:val="en-US"/>
              </w:rPr>
            </w:pPr>
            <w:r w:rsidRPr="001C4C15">
              <w:rPr>
                <w:lang w:val="en-US"/>
              </w:rPr>
              <w:t>Medical practitioners</w:t>
            </w:r>
          </w:p>
        </w:tc>
        <w:tc>
          <w:tcPr>
            <w:tcW w:w="1701" w:type="dxa"/>
            <w:tcBorders>
              <w:top w:val="single" w:sz="4" w:space="0" w:color="000000" w:themeColor="text1"/>
            </w:tcBorders>
          </w:tcPr>
          <w:p w:rsidR="001C4C15" w:rsidRPr="001C4C15" w:rsidRDefault="001C4C15" w:rsidP="006141D5">
            <w:pPr>
              <w:pStyle w:val="Tabletext"/>
              <w:tabs>
                <w:tab w:val="decimal" w:pos="879"/>
              </w:tabs>
              <w:rPr>
                <w:lang w:val="en-US"/>
              </w:rPr>
            </w:pPr>
            <w:r w:rsidRPr="001C4C15">
              <w:rPr>
                <w:lang w:val="en-US"/>
              </w:rPr>
              <w:t>100</w:t>
            </w:r>
          </w:p>
        </w:tc>
      </w:tr>
      <w:tr w:rsidR="001C4C15" w:rsidRPr="001C4C15" w:rsidTr="006141D5">
        <w:tc>
          <w:tcPr>
            <w:tcW w:w="5103" w:type="dxa"/>
          </w:tcPr>
          <w:p w:rsidR="001C4C15" w:rsidRPr="001C4C15" w:rsidRDefault="001C4C15" w:rsidP="001C4C15">
            <w:pPr>
              <w:pStyle w:val="Tabletext"/>
              <w:rPr>
                <w:lang w:val="en-US"/>
              </w:rPr>
            </w:pPr>
            <w:r w:rsidRPr="001C4C15">
              <w:rPr>
                <w:lang w:val="en-US"/>
              </w:rPr>
              <w:t>Other high-status health professionals</w:t>
            </w:r>
          </w:p>
        </w:tc>
        <w:tc>
          <w:tcPr>
            <w:tcW w:w="1701" w:type="dxa"/>
          </w:tcPr>
          <w:p w:rsidR="001C4C15" w:rsidRPr="001C4C15" w:rsidRDefault="001C4C15" w:rsidP="006141D5">
            <w:pPr>
              <w:pStyle w:val="Tabletext"/>
              <w:tabs>
                <w:tab w:val="decimal" w:pos="879"/>
              </w:tabs>
              <w:rPr>
                <w:lang w:val="en-US"/>
              </w:rPr>
            </w:pPr>
            <w:r w:rsidRPr="001C4C15">
              <w:rPr>
                <w:lang w:val="en-US"/>
              </w:rPr>
              <w:t>94</w:t>
            </w:r>
          </w:p>
        </w:tc>
      </w:tr>
      <w:tr w:rsidR="001C4C15" w:rsidRPr="001C4C15" w:rsidTr="006141D5">
        <w:tc>
          <w:tcPr>
            <w:tcW w:w="5103" w:type="dxa"/>
          </w:tcPr>
          <w:p w:rsidR="001C4C15" w:rsidRPr="001C4C15" w:rsidRDefault="001C4C15" w:rsidP="001C4C15">
            <w:pPr>
              <w:pStyle w:val="Tabletext"/>
              <w:rPr>
                <w:lang w:val="en-US"/>
              </w:rPr>
            </w:pPr>
            <w:r w:rsidRPr="001C4C15">
              <w:rPr>
                <w:lang w:val="en-US"/>
              </w:rPr>
              <w:t>University lecturers</w:t>
            </w:r>
          </w:p>
        </w:tc>
        <w:tc>
          <w:tcPr>
            <w:tcW w:w="1701" w:type="dxa"/>
          </w:tcPr>
          <w:p w:rsidR="001C4C15" w:rsidRPr="001C4C15" w:rsidRDefault="001C4C15" w:rsidP="006141D5">
            <w:pPr>
              <w:pStyle w:val="Tabletext"/>
              <w:tabs>
                <w:tab w:val="decimal" w:pos="879"/>
              </w:tabs>
              <w:rPr>
                <w:lang w:val="en-US"/>
              </w:rPr>
            </w:pPr>
            <w:r w:rsidRPr="001C4C15">
              <w:rPr>
                <w:lang w:val="en-US"/>
              </w:rPr>
              <w:t>92</w:t>
            </w:r>
          </w:p>
        </w:tc>
      </w:tr>
      <w:tr w:rsidR="001C4C15" w:rsidRPr="001C4C15" w:rsidTr="006141D5">
        <w:tc>
          <w:tcPr>
            <w:tcW w:w="5103" w:type="dxa"/>
          </w:tcPr>
          <w:p w:rsidR="001C4C15" w:rsidRPr="001C4C15" w:rsidRDefault="001C4C15" w:rsidP="001C4C15">
            <w:pPr>
              <w:pStyle w:val="Tabletext"/>
              <w:rPr>
                <w:lang w:val="en-US"/>
              </w:rPr>
            </w:pPr>
            <w:r w:rsidRPr="001C4C15">
              <w:rPr>
                <w:lang w:val="en-US"/>
              </w:rPr>
              <w:t>Legal professionals</w:t>
            </w:r>
          </w:p>
        </w:tc>
        <w:tc>
          <w:tcPr>
            <w:tcW w:w="1701" w:type="dxa"/>
          </w:tcPr>
          <w:p w:rsidR="001C4C15" w:rsidRPr="001C4C15" w:rsidRDefault="001C4C15" w:rsidP="006141D5">
            <w:pPr>
              <w:pStyle w:val="Tabletext"/>
              <w:tabs>
                <w:tab w:val="decimal" w:pos="879"/>
              </w:tabs>
              <w:rPr>
                <w:lang w:val="en-US"/>
              </w:rPr>
            </w:pPr>
            <w:r w:rsidRPr="001C4C15">
              <w:rPr>
                <w:lang w:val="en-US"/>
              </w:rPr>
              <w:t>91</w:t>
            </w:r>
          </w:p>
        </w:tc>
      </w:tr>
      <w:tr w:rsidR="001C4C15" w:rsidRPr="001C4C15" w:rsidTr="006141D5">
        <w:tc>
          <w:tcPr>
            <w:tcW w:w="5103" w:type="dxa"/>
          </w:tcPr>
          <w:p w:rsidR="001C4C15" w:rsidRPr="001C4C15" w:rsidRDefault="001C4C15" w:rsidP="001C4C15">
            <w:pPr>
              <w:pStyle w:val="Tabletext"/>
              <w:rPr>
                <w:lang w:val="en-US"/>
              </w:rPr>
            </w:pPr>
            <w:r w:rsidRPr="001C4C15">
              <w:rPr>
                <w:lang w:val="en-US"/>
              </w:rPr>
              <w:t>...</w:t>
            </w:r>
          </w:p>
        </w:tc>
        <w:tc>
          <w:tcPr>
            <w:tcW w:w="1701" w:type="dxa"/>
          </w:tcPr>
          <w:p w:rsidR="001C4C15" w:rsidRPr="001C4C15" w:rsidRDefault="001C4C15" w:rsidP="006141D5">
            <w:pPr>
              <w:pStyle w:val="Tabletext"/>
              <w:jc w:val="center"/>
              <w:rPr>
                <w:lang w:val="en-US"/>
              </w:rPr>
            </w:pPr>
            <w:r w:rsidRPr="001C4C15">
              <w:rPr>
                <w:lang w:val="en-US"/>
              </w:rPr>
              <w:t>...</w:t>
            </w:r>
          </w:p>
        </w:tc>
      </w:tr>
      <w:tr w:rsidR="001C4C15" w:rsidRPr="001C4C15" w:rsidTr="006141D5">
        <w:tc>
          <w:tcPr>
            <w:tcW w:w="5103" w:type="dxa"/>
          </w:tcPr>
          <w:p w:rsidR="001C4C15" w:rsidRPr="001C4C15" w:rsidRDefault="001C4C15" w:rsidP="001C4C15">
            <w:pPr>
              <w:pStyle w:val="Tabletext"/>
              <w:rPr>
                <w:lang w:val="en-US"/>
              </w:rPr>
            </w:pPr>
            <w:r w:rsidRPr="001C4C15">
              <w:rPr>
                <w:lang w:val="en-US"/>
              </w:rPr>
              <w:t>Packers</w:t>
            </w:r>
          </w:p>
        </w:tc>
        <w:tc>
          <w:tcPr>
            <w:tcW w:w="1701" w:type="dxa"/>
          </w:tcPr>
          <w:p w:rsidR="001C4C15" w:rsidRPr="001C4C15" w:rsidRDefault="001C4C15" w:rsidP="006141D5">
            <w:pPr>
              <w:pStyle w:val="Tabletext"/>
              <w:tabs>
                <w:tab w:val="decimal" w:pos="879"/>
              </w:tabs>
              <w:rPr>
                <w:lang w:val="en-US"/>
              </w:rPr>
            </w:pPr>
            <w:r w:rsidRPr="001C4C15">
              <w:rPr>
                <w:lang w:val="en-US"/>
              </w:rPr>
              <w:t>6</w:t>
            </w:r>
          </w:p>
        </w:tc>
      </w:tr>
      <w:tr w:rsidR="001C4C15" w:rsidRPr="001C4C15" w:rsidTr="006141D5">
        <w:tc>
          <w:tcPr>
            <w:tcW w:w="5103" w:type="dxa"/>
          </w:tcPr>
          <w:p w:rsidR="001C4C15" w:rsidRPr="001C4C15" w:rsidRDefault="001C4C15" w:rsidP="001C4C15">
            <w:pPr>
              <w:pStyle w:val="Tabletext"/>
              <w:rPr>
                <w:lang w:val="en-US"/>
              </w:rPr>
            </w:pPr>
            <w:r w:rsidRPr="001C4C15">
              <w:rPr>
                <w:lang w:val="en-US"/>
              </w:rPr>
              <w:t>Agricultural and related workers</w:t>
            </w:r>
          </w:p>
        </w:tc>
        <w:tc>
          <w:tcPr>
            <w:tcW w:w="1701" w:type="dxa"/>
          </w:tcPr>
          <w:p w:rsidR="001C4C15" w:rsidRPr="001C4C15" w:rsidRDefault="001C4C15" w:rsidP="006141D5">
            <w:pPr>
              <w:pStyle w:val="Tabletext"/>
              <w:tabs>
                <w:tab w:val="decimal" w:pos="879"/>
              </w:tabs>
              <w:rPr>
                <w:lang w:val="en-US"/>
              </w:rPr>
            </w:pPr>
            <w:r w:rsidRPr="001C4C15">
              <w:rPr>
                <w:lang w:val="en-US"/>
              </w:rPr>
              <w:t>5</w:t>
            </w:r>
          </w:p>
        </w:tc>
      </w:tr>
      <w:tr w:rsidR="001C4C15" w:rsidRPr="001C4C15" w:rsidTr="006141D5">
        <w:tc>
          <w:tcPr>
            <w:tcW w:w="5103" w:type="dxa"/>
          </w:tcPr>
          <w:p w:rsidR="001C4C15" w:rsidRPr="001C4C15" w:rsidRDefault="001C4C15" w:rsidP="001C4C15">
            <w:pPr>
              <w:pStyle w:val="Tabletext"/>
              <w:rPr>
                <w:lang w:val="en-US"/>
              </w:rPr>
            </w:pPr>
            <w:r w:rsidRPr="001C4C15">
              <w:rPr>
                <w:lang w:val="en-US"/>
              </w:rPr>
              <w:t>Textile machine operators</w:t>
            </w:r>
          </w:p>
        </w:tc>
        <w:tc>
          <w:tcPr>
            <w:tcW w:w="1701" w:type="dxa"/>
          </w:tcPr>
          <w:p w:rsidR="001C4C15" w:rsidRPr="001C4C15" w:rsidRDefault="001C4C15" w:rsidP="006141D5">
            <w:pPr>
              <w:pStyle w:val="Tabletext"/>
              <w:tabs>
                <w:tab w:val="decimal" w:pos="879"/>
              </w:tabs>
              <w:rPr>
                <w:lang w:val="en-US"/>
              </w:rPr>
            </w:pPr>
            <w:r w:rsidRPr="001C4C15">
              <w:rPr>
                <w:lang w:val="en-US"/>
              </w:rPr>
              <w:t>3</w:t>
            </w:r>
          </w:p>
        </w:tc>
      </w:tr>
      <w:tr w:rsidR="001C4C15" w:rsidRPr="001C4C15" w:rsidTr="006141D5">
        <w:tc>
          <w:tcPr>
            <w:tcW w:w="5103" w:type="dxa"/>
            <w:tcBorders>
              <w:bottom w:val="single" w:sz="4" w:space="0" w:color="000000" w:themeColor="text1"/>
            </w:tcBorders>
          </w:tcPr>
          <w:p w:rsidR="001C4C15" w:rsidRPr="001C4C15" w:rsidRDefault="001C4C15" w:rsidP="001C4C15">
            <w:pPr>
              <w:pStyle w:val="Tabletext"/>
              <w:rPr>
                <w:lang w:val="en-US"/>
              </w:rPr>
            </w:pPr>
            <w:r w:rsidRPr="001C4C15">
              <w:rPr>
                <w:lang w:val="en-US"/>
              </w:rPr>
              <w:t>Labourers not elsewhere classified</w:t>
            </w:r>
          </w:p>
        </w:tc>
        <w:tc>
          <w:tcPr>
            <w:tcW w:w="1701" w:type="dxa"/>
            <w:tcBorders>
              <w:bottom w:val="single" w:sz="4" w:space="0" w:color="000000" w:themeColor="text1"/>
            </w:tcBorders>
          </w:tcPr>
          <w:p w:rsidR="001C4C15" w:rsidRPr="001C4C15" w:rsidRDefault="001C4C15" w:rsidP="006141D5">
            <w:pPr>
              <w:pStyle w:val="Tabletext"/>
              <w:tabs>
                <w:tab w:val="decimal" w:pos="879"/>
              </w:tabs>
              <w:rPr>
                <w:lang w:val="en-US"/>
              </w:rPr>
            </w:pPr>
            <w:r w:rsidRPr="001C4C15">
              <w:rPr>
                <w:lang w:val="en-US"/>
              </w:rPr>
              <w:t>0</w:t>
            </w:r>
          </w:p>
        </w:tc>
      </w:tr>
    </w:tbl>
    <w:p w:rsidR="00B37D3F" w:rsidRDefault="00B37D3F" w:rsidP="00B37D3F">
      <w:pPr>
        <w:pStyle w:val="tabletitle"/>
      </w:pPr>
      <w:bookmarkStart w:id="46" w:name="_Toc377396981"/>
      <w:r>
        <w:t xml:space="preserve">Table </w:t>
      </w:r>
      <w:r w:rsidR="001C4C15">
        <w:t>4</w:t>
      </w:r>
      <w:r>
        <w:tab/>
        <w:t>Descriptive statistics for occupational aspirations (unweighted)</w:t>
      </w:r>
      <w:bookmarkEnd w:id="46"/>
    </w:p>
    <w:tbl>
      <w:tblPr>
        <w:tblStyle w:val="TableGrid"/>
        <w:tblW w:w="68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346"/>
        <w:gridCol w:w="1347"/>
      </w:tblGrid>
      <w:tr w:rsidR="00B37D3F" w:rsidRPr="008C0964" w:rsidTr="008C0964">
        <w:tc>
          <w:tcPr>
            <w:tcW w:w="4111" w:type="dxa"/>
            <w:tcBorders>
              <w:top w:val="single" w:sz="4" w:space="0" w:color="000000" w:themeColor="text1"/>
              <w:bottom w:val="single" w:sz="4" w:space="0" w:color="000000" w:themeColor="text1"/>
            </w:tcBorders>
          </w:tcPr>
          <w:p w:rsidR="00B37D3F" w:rsidRPr="008C0964" w:rsidRDefault="00B37D3F" w:rsidP="008C0964">
            <w:pPr>
              <w:pStyle w:val="Tablehead1"/>
            </w:pPr>
            <w:r w:rsidRPr="008C0964">
              <w:t>Category</w:t>
            </w:r>
          </w:p>
        </w:tc>
        <w:tc>
          <w:tcPr>
            <w:tcW w:w="1346" w:type="dxa"/>
            <w:tcBorders>
              <w:top w:val="single" w:sz="4" w:space="0" w:color="000000" w:themeColor="text1"/>
              <w:bottom w:val="single" w:sz="4" w:space="0" w:color="000000" w:themeColor="text1"/>
            </w:tcBorders>
          </w:tcPr>
          <w:p w:rsidR="00B37D3F" w:rsidRPr="008C0964" w:rsidRDefault="00B37D3F" w:rsidP="008C0964">
            <w:pPr>
              <w:pStyle w:val="Tablehead1"/>
            </w:pPr>
          </w:p>
        </w:tc>
        <w:tc>
          <w:tcPr>
            <w:tcW w:w="1347" w:type="dxa"/>
            <w:tcBorders>
              <w:top w:val="single" w:sz="4" w:space="0" w:color="000000" w:themeColor="text1"/>
              <w:bottom w:val="single" w:sz="4" w:space="0" w:color="000000" w:themeColor="text1"/>
            </w:tcBorders>
          </w:tcPr>
          <w:p w:rsidR="00B37D3F" w:rsidRPr="008C0964" w:rsidRDefault="00B37D3F" w:rsidP="008C0964">
            <w:pPr>
              <w:pStyle w:val="Tablehead1"/>
            </w:pPr>
          </w:p>
        </w:tc>
      </w:tr>
      <w:tr w:rsidR="00B37D3F" w:rsidTr="008C0964">
        <w:tc>
          <w:tcPr>
            <w:tcW w:w="4111" w:type="dxa"/>
            <w:tcBorders>
              <w:top w:val="single" w:sz="4" w:space="0" w:color="000000" w:themeColor="text1"/>
            </w:tcBorders>
          </w:tcPr>
          <w:p w:rsidR="00B37D3F" w:rsidRDefault="00B37D3F" w:rsidP="00B37D3F">
            <w:pPr>
              <w:pStyle w:val="Tabletext"/>
            </w:pPr>
            <w:r>
              <w:t>Continuous</w:t>
            </w:r>
          </w:p>
        </w:tc>
        <w:tc>
          <w:tcPr>
            <w:tcW w:w="1346" w:type="dxa"/>
            <w:tcBorders>
              <w:top w:val="single" w:sz="4" w:space="0" w:color="000000" w:themeColor="text1"/>
            </w:tcBorders>
          </w:tcPr>
          <w:p w:rsidR="00B37D3F" w:rsidRDefault="00B37D3F" w:rsidP="008C0964">
            <w:pPr>
              <w:pStyle w:val="Tabletext"/>
              <w:ind w:right="113"/>
              <w:jc w:val="right"/>
            </w:pPr>
            <w:r>
              <w:t>Mean: 67.25</w:t>
            </w:r>
          </w:p>
        </w:tc>
        <w:tc>
          <w:tcPr>
            <w:tcW w:w="1347" w:type="dxa"/>
            <w:tcBorders>
              <w:top w:val="single" w:sz="4" w:space="0" w:color="000000" w:themeColor="text1"/>
            </w:tcBorders>
          </w:tcPr>
          <w:p w:rsidR="00B37D3F" w:rsidRDefault="00B37D3F" w:rsidP="008C0964">
            <w:pPr>
              <w:pStyle w:val="Tabletext"/>
              <w:ind w:right="113"/>
              <w:jc w:val="right"/>
            </w:pPr>
            <w:r>
              <w:t>SD: 23.45</w:t>
            </w:r>
          </w:p>
        </w:tc>
      </w:tr>
      <w:tr w:rsidR="00B37D3F" w:rsidRPr="007A3D94" w:rsidTr="008C0964">
        <w:tc>
          <w:tcPr>
            <w:tcW w:w="4111" w:type="dxa"/>
            <w:tcBorders>
              <w:bottom w:val="single" w:sz="4" w:space="0" w:color="000000" w:themeColor="text1"/>
            </w:tcBorders>
          </w:tcPr>
          <w:p w:rsidR="00B37D3F" w:rsidRPr="007A3D94" w:rsidRDefault="00B37D3F" w:rsidP="00B37D3F">
            <w:pPr>
              <w:pStyle w:val="Tabletext"/>
              <w:rPr>
                <w:i/>
              </w:rPr>
            </w:pPr>
            <w:r w:rsidRPr="007A3D94">
              <w:rPr>
                <w:i/>
              </w:rPr>
              <w:t>Missing</w:t>
            </w:r>
          </w:p>
        </w:tc>
        <w:tc>
          <w:tcPr>
            <w:tcW w:w="1346" w:type="dxa"/>
            <w:tcBorders>
              <w:bottom w:val="single" w:sz="4" w:space="0" w:color="000000" w:themeColor="text1"/>
            </w:tcBorders>
          </w:tcPr>
          <w:p w:rsidR="00B37D3F" w:rsidRPr="007A3D94" w:rsidRDefault="00B37D3F" w:rsidP="008C0964">
            <w:pPr>
              <w:pStyle w:val="Tabletext"/>
              <w:ind w:right="113"/>
              <w:jc w:val="right"/>
              <w:rPr>
                <w:i/>
              </w:rPr>
            </w:pPr>
            <w:r w:rsidRPr="007A3D94">
              <w:rPr>
                <w:i/>
              </w:rPr>
              <w:t>n = 4 866</w:t>
            </w:r>
          </w:p>
        </w:tc>
        <w:tc>
          <w:tcPr>
            <w:tcW w:w="1347" w:type="dxa"/>
            <w:tcBorders>
              <w:bottom w:val="single" w:sz="4" w:space="0" w:color="000000" w:themeColor="text1"/>
            </w:tcBorders>
          </w:tcPr>
          <w:p w:rsidR="00B37D3F" w:rsidRPr="007A3D94" w:rsidRDefault="00B37D3F" w:rsidP="008C0964">
            <w:pPr>
              <w:pStyle w:val="Tabletext"/>
              <w:ind w:right="113"/>
              <w:jc w:val="right"/>
              <w:rPr>
                <w:i/>
              </w:rPr>
            </w:pPr>
            <w:r w:rsidRPr="007A3D94">
              <w:rPr>
                <w:i/>
              </w:rPr>
              <w:t>34.14%</w:t>
            </w:r>
          </w:p>
        </w:tc>
      </w:tr>
    </w:tbl>
    <w:p w:rsidR="00F23728" w:rsidRPr="00F23728" w:rsidRDefault="00F23728" w:rsidP="00D80F12">
      <w:pPr>
        <w:pStyle w:val="Heading2"/>
      </w:pPr>
      <w:bookmarkStart w:id="47" w:name="_Toc380048243"/>
      <w:r w:rsidRPr="00F23728">
        <w:t>Predictors</w:t>
      </w:r>
      <w:bookmarkEnd w:id="47"/>
    </w:p>
    <w:p w:rsidR="00F23728" w:rsidRPr="00F23728" w:rsidRDefault="00E00F17" w:rsidP="00F23728">
      <w:pPr>
        <w:pStyle w:val="Text"/>
      </w:pPr>
      <w:r>
        <w:t>This study accounted</w:t>
      </w:r>
      <w:r w:rsidR="00F23728" w:rsidRPr="00F23728">
        <w:t xml:space="preserve"> for a variety of predictor variables</w:t>
      </w:r>
      <w:r w:rsidR="00FC0A85">
        <w:t xml:space="preserve"> which</w:t>
      </w:r>
      <w:r w:rsidR="00F23728" w:rsidRPr="00F23728">
        <w:t xml:space="preserve"> can be grouped into four main categories</w:t>
      </w:r>
      <w:r w:rsidR="0099154B">
        <w:t>:</w:t>
      </w:r>
      <w:r w:rsidR="00F23728" w:rsidRPr="00F23728">
        <w:t xml:space="preserve"> </w:t>
      </w:r>
      <w:r w:rsidR="00731A0F">
        <w:t xml:space="preserve">socio-demographic </w:t>
      </w:r>
      <w:r w:rsidR="00F23728" w:rsidRPr="00F23728">
        <w:t>backgrou</w:t>
      </w:r>
      <w:r w:rsidR="00731A0F">
        <w:t>nd characteri</w:t>
      </w:r>
      <w:r w:rsidR="00FC0A85">
        <w:t>stics;</w:t>
      </w:r>
      <w:r w:rsidR="00731A0F">
        <w:t xml:space="preserve"> parental and peer influence</w:t>
      </w:r>
      <w:r w:rsidR="00FC0A85">
        <w:t>s;</w:t>
      </w:r>
      <w:r w:rsidR="00277EAB">
        <w:t xml:space="preserve"> individual academic performance</w:t>
      </w:r>
      <w:r w:rsidR="00FC0A85">
        <w:t>;</w:t>
      </w:r>
      <w:r w:rsidR="00F23728" w:rsidRPr="00F23728">
        <w:t xml:space="preserve"> and young people’s overall perception</w:t>
      </w:r>
      <w:r w:rsidR="00602014">
        <w:t>s</w:t>
      </w:r>
      <w:r w:rsidR="00F23728" w:rsidRPr="00F23728">
        <w:t xml:space="preserve"> of school.</w:t>
      </w:r>
    </w:p>
    <w:p w:rsidR="00F23728" w:rsidRPr="00F23728" w:rsidRDefault="00731A0F" w:rsidP="0035550A">
      <w:pPr>
        <w:pStyle w:val="Heading3"/>
      </w:pPr>
      <w:r>
        <w:t>Socio-demographic background</w:t>
      </w:r>
    </w:p>
    <w:p w:rsidR="00F23728" w:rsidRPr="00F23728" w:rsidRDefault="007A3D94" w:rsidP="0035550A">
      <w:pPr>
        <w:pStyle w:val="Textlessbefore"/>
      </w:pPr>
      <w:r>
        <w:t>Socio-demographic</w:t>
      </w:r>
      <w:r w:rsidR="00F23728" w:rsidRPr="00F23728">
        <w:t xml:space="preserve"> background characte</w:t>
      </w:r>
      <w:r w:rsidR="00E00F17">
        <w:t>ristics included in this study we</w:t>
      </w:r>
      <w:r w:rsidR="00FC0A85">
        <w:t>re gender, Indigenous status, socioeconomic status,</w:t>
      </w:r>
      <w:r w:rsidR="002D74FE">
        <w:rPr>
          <w:rStyle w:val="FootnoteReference"/>
        </w:rPr>
        <w:footnoteReference w:id="6"/>
      </w:r>
      <w:r w:rsidR="00F23728" w:rsidRPr="00F23728">
        <w:t xml:space="preserve"> lo</w:t>
      </w:r>
      <w:r w:rsidR="00FC0A85">
        <w:t xml:space="preserve">cation (metropolitan </w:t>
      </w:r>
      <w:r w:rsidR="004B6514">
        <w:t>versus</w:t>
      </w:r>
      <w:r w:rsidR="00F23728" w:rsidRPr="00F23728">
        <w:t xml:space="preserve"> not metropolitan), family structure</w:t>
      </w:r>
      <w:r w:rsidR="00FC0A85">
        <w:t xml:space="preserve"> (traditional </w:t>
      </w:r>
      <w:r w:rsidR="00FC0A85">
        <w:lastRenderedPageBreak/>
        <w:t xml:space="preserve">nuclear family </w:t>
      </w:r>
      <w:r w:rsidR="004B6514">
        <w:t>versus</w:t>
      </w:r>
      <w:r w:rsidR="00F23728" w:rsidRPr="00F23728">
        <w:t xml:space="preserve"> other) and immigra</w:t>
      </w:r>
      <w:r w:rsidR="00FC0A85">
        <w:t xml:space="preserve">tion status (Australian-born </w:t>
      </w:r>
      <w:r w:rsidR="004B6514">
        <w:t>versus</w:t>
      </w:r>
      <w:r w:rsidR="00FC0A85">
        <w:t xml:space="preserve"> first-generation </w:t>
      </w:r>
      <w:r w:rsidR="004B6514">
        <w:t>versus</w:t>
      </w:r>
      <w:r w:rsidR="00F23728" w:rsidRPr="00F23728">
        <w:t xml:space="preserve"> foreign-born).</w:t>
      </w:r>
    </w:p>
    <w:p w:rsidR="00F23728" w:rsidRPr="00F23728" w:rsidRDefault="00731A0F" w:rsidP="0035550A">
      <w:pPr>
        <w:pStyle w:val="Heading3"/>
      </w:pPr>
      <w:r>
        <w:t>Parental and peer influence</w:t>
      </w:r>
      <w:r w:rsidR="00F23728" w:rsidRPr="00F23728">
        <w:t>s</w:t>
      </w:r>
    </w:p>
    <w:p w:rsidR="00573529" w:rsidRPr="004A479F" w:rsidRDefault="00731A0F" w:rsidP="0035550A">
      <w:pPr>
        <w:pStyle w:val="Textlessbefore"/>
        <w:spacing w:after="200"/>
        <w:rPr>
          <w:rFonts w:eastAsia="Calibri"/>
        </w:rPr>
      </w:pPr>
      <w:r>
        <w:t>The impact of p</w:t>
      </w:r>
      <w:r w:rsidR="00E00F17">
        <w:t>arental and peer influences wa</w:t>
      </w:r>
      <w:r>
        <w:t>s captured</w:t>
      </w:r>
      <w:r w:rsidR="00F23728" w:rsidRPr="00F23728">
        <w:t xml:space="preserve"> via parents’ post-school plans for their</w:t>
      </w:r>
      <w:r w:rsidR="00FC0A85">
        <w:t xml:space="preserve"> child (attending university </w:t>
      </w:r>
      <w:r w:rsidR="004B6514">
        <w:t>versus</w:t>
      </w:r>
      <w:r w:rsidR="00F23728" w:rsidRPr="00F23728">
        <w:t xml:space="preserve"> not attending university)</w:t>
      </w:r>
      <w:r w:rsidR="004B6514">
        <w:t>,</w:t>
      </w:r>
      <w:r w:rsidR="00F23728" w:rsidRPr="00F23728">
        <w:t xml:space="preserve"> as well as </w:t>
      </w:r>
      <w:r w:rsidR="00FC0A85">
        <w:t xml:space="preserve">whether </w:t>
      </w:r>
      <w:r w:rsidR="00A721FC">
        <w:t>students’</w:t>
      </w:r>
      <w:r w:rsidR="00FC0A85">
        <w:t xml:space="preserve"> friends expect</w:t>
      </w:r>
      <w:r w:rsidR="004B6514">
        <w:t>ed</w:t>
      </w:r>
      <w:r w:rsidR="00FC0A85">
        <w:t xml:space="preserve"> to </w:t>
      </w:r>
      <w:r w:rsidR="00F23728" w:rsidRPr="00F23728">
        <w:t>attend university.</w:t>
      </w:r>
      <w:r w:rsidR="00F94299">
        <w:t xml:space="preserve"> </w:t>
      </w:r>
      <w:r w:rsidR="00573529" w:rsidRPr="004A479F">
        <w:rPr>
          <w:rFonts w:eastAsia="Calibri"/>
        </w:rPr>
        <w:t>The actual question asked in the LSAY 2009 survey regarding parents is as follows:</w:t>
      </w:r>
    </w:p>
    <w:p w:rsidR="00573529" w:rsidRDefault="00170BFE" w:rsidP="00573529">
      <w:pPr>
        <w:spacing w:before="0" w:after="200" w:line="276" w:lineRule="auto"/>
        <w:outlineLvl w:val="0"/>
        <w:rPr>
          <w:rFonts w:ascii="Calibri" w:eastAsia="Calibri" w:hAnsi="Calibri"/>
          <w:b/>
          <w:sz w:val="22"/>
          <w:szCs w:val="22"/>
        </w:rPr>
      </w:pPr>
      <w:r>
        <w:rPr>
          <w:rFonts w:ascii="Calibri" w:eastAsia="Calibri" w:hAnsi="Calibri"/>
          <w:b/>
          <w:sz w:val="22"/>
          <w:szCs w:val="22"/>
        </w:rPr>
      </w:r>
      <w:r>
        <w:rPr>
          <w:rFonts w:ascii="Calibri" w:eastAsia="Calibri" w:hAnsi="Calibri"/>
          <w:b/>
          <w:sz w:val="22"/>
          <w:szCs w:val="22"/>
        </w:rPr>
        <w:pict>
          <v:shape id="_x0000_s1041" type="#_x0000_t202" style="width:407pt;height:130.7pt;mso-left-percent:-10001;mso-top-percent:-10001;mso-position-horizontal:absolute;mso-position-horizontal-relative:char;mso-position-vertical:absolute;mso-position-vertical-relative:line;mso-left-percent:-10001;mso-top-percent:-10001;mso-width-relative:margin;mso-height-relative:margin">
            <v:textbox>
              <w:txbxContent>
                <w:p w:rsidR="004604D3" w:rsidRDefault="004604D3" w:rsidP="0035550A">
                  <w:pPr>
                    <w:pStyle w:val="Textlessbefore"/>
                    <w:spacing w:after="120"/>
                    <w:rPr>
                      <w:rFonts w:eastAsia="Calibri"/>
                    </w:rPr>
                  </w:pPr>
                  <w:r w:rsidRPr="003A7A7E">
                    <w:rPr>
                      <w:rFonts w:eastAsia="Calibri"/>
                    </w:rPr>
                    <w:t>In the year immediately after you leave school</w:t>
                  </w:r>
                  <w:r>
                    <w:rPr>
                      <w:rFonts w:eastAsia="Calibri"/>
                    </w:rPr>
                    <w:t xml:space="preserve"> </w:t>
                  </w:r>
                  <w:r w:rsidRPr="003A7A7E">
                    <w:rPr>
                      <w:rFonts w:eastAsia="Calibri"/>
                    </w:rPr>
                    <w:t>… What do your parents want you to do?</w:t>
                  </w:r>
                </w:p>
                <w:tbl>
                  <w:tblPr>
                    <w:tblW w:w="6818" w:type="dxa"/>
                    <w:tblInd w:w="94" w:type="dxa"/>
                    <w:tblLook w:val="04A0" w:firstRow="1" w:lastRow="0" w:firstColumn="1" w:lastColumn="0" w:noHBand="0" w:noVBand="1"/>
                  </w:tblPr>
                  <w:tblGrid>
                    <w:gridCol w:w="3206"/>
                    <w:gridCol w:w="3612"/>
                  </w:tblGrid>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1 Go to University</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9 Something else</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2 Get an apprenticeship</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10 Travel</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3 Get a traineeship</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11 Self-development in sports or performing arts</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4 Go to a TAFE or VET (vocational) college</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12 Defence force</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5 Do some other study or training</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97 N/A</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6 Look for work/get a job</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98 Invalid</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7 Gap year/time off</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99 Missing/no response</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8 Don't know</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p>
                    </w:tc>
                  </w:tr>
                </w:tbl>
                <w:p w:rsidR="004604D3" w:rsidRDefault="004604D3" w:rsidP="00573529"/>
              </w:txbxContent>
            </v:textbox>
            <w10:wrap type="none"/>
            <w10:anchorlock/>
          </v:shape>
        </w:pict>
      </w:r>
    </w:p>
    <w:p w:rsidR="00573529" w:rsidRDefault="00573529" w:rsidP="0035550A">
      <w:pPr>
        <w:pStyle w:val="Text"/>
        <w:spacing w:before="80" w:after="200"/>
        <w:ind w:right="0"/>
        <w:rPr>
          <w:rFonts w:eastAsia="Calibri"/>
        </w:rPr>
      </w:pPr>
      <w:r>
        <w:rPr>
          <w:rFonts w:eastAsia="Calibri"/>
        </w:rPr>
        <w:t>Similarly, the question regarding peers is as follows:</w:t>
      </w:r>
    </w:p>
    <w:p w:rsidR="00573529" w:rsidRDefault="00170BFE" w:rsidP="00573529">
      <w:pPr>
        <w:spacing w:before="0" w:line="240" w:lineRule="auto"/>
        <w:rPr>
          <w:rFonts w:eastAsia="Calibri"/>
        </w:rPr>
      </w:pPr>
      <w:r>
        <w:rPr>
          <w:rFonts w:eastAsia="Calibri"/>
        </w:rPr>
      </w:r>
      <w:r>
        <w:rPr>
          <w:rFonts w:eastAsia="Calibri"/>
        </w:rPr>
        <w:pict>
          <v:shape id="_x0000_s1040" type="#_x0000_t202" style="width:407pt;height:130.7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40">
              <w:txbxContent>
                <w:p w:rsidR="004604D3" w:rsidRDefault="004604D3" w:rsidP="0035550A">
                  <w:pPr>
                    <w:pStyle w:val="Textlessbefore"/>
                    <w:spacing w:after="120"/>
                    <w:rPr>
                      <w:rFonts w:eastAsia="Calibri"/>
                    </w:rPr>
                  </w:pPr>
                  <w:r w:rsidRPr="003A7A7E">
                    <w:rPr>
                      <w:rFonts w:eastAsia="Calibri"/>
                    </w:rPr>
                    <w:t>In the year immediately after you leave school</w:t>
                  </w:r>
                  <w:r>
                    <w:rPr>
                      <w:rFonts w:eastAsia="Calibri"/>
                    </w:rPr>
                    <w:t xml:space="preserve"> </w:t>
                  </w:r>
                  <w:r w:rsidRPr="003A7A7E">
                    <w:rPr>
                      <w:rFonts w:eastAsia="Calibri"/>
                    </w:rPr>
                    <w:t xml:space="preserve">… What do </w:t>
                  </w:r>
                  <w:r>
                    <w:rPr>
                      <w:rFonts w:eastAsia="Calibri"/>
                    </w:rPr>
                    <w:t>most of your friends plan to do?</w:t>
                  </w:r>
                </w:p>
                <w:tbl>
                  <w:tblPr>
                    <w:tblW w:w="6818" w:type="dxa"/>
                    <w:tblInd w:w="94" w:type="dxa"/>
                    <w:tblLook w:val="04A0" w:firstRow="1" w:lastRow="0" w:firstColumn="1" w:lastColumn="0" w:noHBand="0" w:noVBand="1"/>
                  </w:tblPr>
                  <w:tblGrid>
                    <w:gridCol w:w="3206"/>
                    <w:gridCol w:w="3612"/>
                  </w:tblGrid>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1 Go to University</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9 Something else</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2 Get an apprenticeship</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10 Travel</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3 Get a traineeship</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11 Self-development in sports or performing arts</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4 Go to a TAFE or VET (vocational) college</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12 Defence force</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5 Do some other study or training</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97 N/A</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6 Look for work/get a job</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r w:rsidRPr="0035550A">
                          <w:rPr>
                            <w:sz w:val="15"/>
                            <w:szCs w:val="15"/>
                            <w:lang w:eastAsia="en-AU"/>
                          </w:rPr>
                          <w:t>98 Invalid</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F967CD">
                        <w:pPr>
                          <w:spacing w:before="40" w:line="240" w:lineRule="auto"/>
                          <w:rPr>
                            <w:sz w:val="15"/>
                            <w:szCs w:val="15"/>
                            <w:lang w:eastAsia="en-AU"/>
                          </w:rPr>
                        </w:pPr>
                        <w:r w:rsidRPr="0035550A">
                          <w:rPr>
                            <w:sz w:val="15"/>
                            <w:szCs w:val="15"/>
                            <w:lang w:eastAsia="en-AU"/>
                          </w:rPr>
                          <w:t>7 Gap year/time off</w:t>
                        </w:r>
                      </w:p>
                    </w:tc>
                    <w:tc>
                      <w:tcPr>
                        <w:tcW w:w="3612" w:type="dxa"/>
                        <w:tcBorders>
                          <w:top w:val="nil"/>
                          <w:left w:val="nil"/>
                          <w:bottom w:val="nil"/>
                          <w:right w:val="nil"/>
                        </w:tcBorders>
                      </w:tcPr>
                      <w:p w:rsidR="004604D3" w:rsidRPr="0035550A" w:rsidRDefault="004604D3" w:rsidP="00F967CD">
                        <w:pPr>
                          <w:spacing w:before="40" w:line="240" w:lineRule="auto"/>
                          <w:rPr>
                            <w:sz w:val="15"/>
                            <w:szCs w:val="15"/>
                            <w:lang w:eastAsia="en-AU"/>
                          </w:rPr>
                        </w:pPr>
                        <w:r w:rsidRPr="0035550A">
                          <w:rPr>
                            <w:sz w:val="15"/>
                            <w:szCs w:val="15"/>
                            <w:lang w:eastAsia="en-AU"/>
                          </w:rPr>
                          <w:t>99 Missing/no response</w:t>
                        </w:r>
                      </w:p>
                    </w:tc>
                  </w:tr>
                  <w:tr w:rsidR="004604D3" w:rsidRPr="00EC6C55" w:rsidTr="0035550A">
                    <w:trPr>
                      <w:trHeight w:val="225"/>
                    </w:trPr>
                    <w:tc>
                      <w:tcPr>
                        <w:tcW w:w="3206" w:type="dxa"/>
                        <w:tcBorders>
                          <w:top w:val="nil"/>
                          <w:left w:val="nil"/>
                          <w:bottom w:val="nil"/>
                          <w:right w:val="nil"/>
                        </w:tcBorders>
                        <w:shd w:val="clear" w:color="auto" w:fill="auto"/>
                        <w:noWrap/>
                        <w:hideMark/>
                      </w:tcPr>
                      <w:p w:rsidR="004604D3" w:rsidRPr="0035550A" w:rsidRDefault="004604D3" w:rsidP="0035550A">
                        <w:pPr>
                          <w:spacing w:before="40" w:line="240" w:lineRule="auto"/>
                          <w:rPr>
                            <w:sz w:val="15"/>
                            <w:szCs w:val="15"/>
                            <w:lang w:eastAsia="en-AU"/>
                          </w:rPr>
                        </w:pPr>
                        <w:r w:rsidRPr="0035550A">
                          <w:rPr>
                            <w:sz w:val="15"/>
                            <w:szCs w:val="15"/>
                            <w:lang w:eastAsia="en-AU"/>
                          </w:rPr>
                          <w:t>8 Don't know</w:t>
                        </w:r>
                      </w:p>
                    </w:tc>
                    <w:tc>
                      <w:tcPr>
                        <w:tcW w:w="3612" w:type="dxa"/>
                        <w:tcBorders>
                          <w:top w:val="nil"/>
                          <w:left w:val="nil"/>
                          <w:bottom w:val="nil"/>
                          <w:right w:val="nil"/>
                        </w:tcBorders>
                      </w:tcPr>
                      <w:p w:rsidR="004604D3" w:rsidRPr="0035550A" w:rsidRDefault="004604D3" w:rsidP="0035550A">
                        <w:pPr>
                          <w:spacing w:before="40" w:line="240" w:lineRule="auto"/>
                          <w:rPr>
                            <w:sz w:val="15"/>
                            <w:szCs w:val="15"/>
                            <w:lang w:eastAsia="en-AU"/>
                          </w:rPr>
                        </w:pPr>
                      </w:p>
                    </w:tc>
                  </w:tr>
                </w:tbl>
                <w:p w:rsidR="004604D3" w:rsidRDefault="004604D3" w:rsidP="00573529"/>
              </w:txbxContent>
            </v:textbox>
            <w10:wrap type="none"/>
            <w10:anchorlock/>
          </v:shape>
        </w:pict>
      </w:r>
    </w:p>
    <w:p w:rsidR="00F23728" w:rsidRDefault="00573529" w:rsidP="0035550A">
      <w:pPr>
        <w:pStyle w:val="Textmorebefore"/>
      </w:pPr>
      <w:r>
        <w:t>It is important to emphasise</w:t>
      </w:r>
      <w:r w:rsidR="00F94299">
        <w:t xml:space="preserve"> that </w:t>
      </w:r>
      <w:r w:rsidR="00E469AA">
        <w:t xml:space="preserve">in LSAY </w:t>
      </w:r>
      <w:r w:rsidR="00F94299">
        <w:t xml:space="preserve">these predictors are measures of </w:t>
      </w:r>
      <w:r w:rsidR="00F94299" w:rsidRPr="00F94299">
        <w:rPr>
          <w:i/>
        </w:rPr>
        <w:t>students’ perceptions</w:t>
      </w:r>
      <w:r w:rsidR="00F94299">
        <w:t xml:space="preserve"> of their parents’ expectations and </w:t>
      </w:r>
      <w:r w:rsidR="00DE1C01">
        <w:t xml:space="preserve">their </w:t>
      </w:r>
      <w:r w:rsidR="00F94299">
        <w:t>peer</w:t>
      </w:r>
      <w:r w:rsidR="00DE1C01">
        <w:t>s’ educational destinations:</w:t>
      </w:r>
      <w:r w:rsidR="00E469AA">
        <w:t xml:space="preserve"> they are not the reported expectations and destinations of </w:t>
      </w:r>
      <w:r w:rsidR="00DE1C01">
        <w:t xml:space="preserve">the </w:t>
      </w:r>
      <w:r w:rsidR="00E469AA">
        <w:t>parents and peers themselves</w:t>
      </w:r>
      <w:r w:rsidR="00DE1C01">
        <w:t>.</w:t>
      </w:r>
      <w:r w:rsidR="00E469AA">
        <w:rPr>
          <w:rStyle w:val="FootnoteReference"/>
        </w:rPr>
        <w:footnoteReference w:id="7"/>
      </w:r>
      <w:r w:rsidR="00DE1C01">
        <w:t xml:space="preserve"> For simplicity, student</w:t>
      </w:r>
      <w:r w:rsidR="008D7BFF">
        <w:t>s</w:t>
      </w:r>
      <w:r w:rsidR="00DE1C01">
        <w:t>’</w:t>
      </w:r>
      <w:r w:rsidR="008D7BFF">
        <w:t xml:space="preserve"> perceptions of parental and peer expectations/destinations are referred to as ‘parental and peer influenc</w:t>
      </w:r>
      <w:r w:rsidR="00D93705">
        <w:t xml:space="preserve">es’ throughout </w:t>
      </w:r>
      <w:r w:rsidR="008D7BFF">
        <w:t>the report.</w:t>
      </w:r>
    </w:p>
    <w:p w:rsidR="00F23728" w:rsidRPr="00F23728" w:rsidRDefault="00277EAB" w:rsidP="0035550A">
      <w:pPr>
        <w:pStyle w:val="Heading3"/>
      </w:pPr>
      <w:r>
        <w:t>Academic performance</w:t>
      </w:r>
    </w:p>
    <w:p w:rsidR="00F23728" w:rsidRPr="00F23728" w:rsidRDefault="00F23728" w:rsidP="0035550A">
      <w:pPr>
        <w:pStyle w:val="Textlessbefore"/>
      </w:pPr>
      <w:r w:rsidRPr="00F23728">
        <w:t>PISA a</w:t>
      </w:r>
      <w:r w:rsidR="00DE1C01">
        <w:t>ssesses the literacy of 15-</w:t>
      </w:r>
      <w:r w:rsidR="00F61609">
        <w:t>year-</w:t>
      </w:r>
      <w:r w:rsidRPr="00F23728">
        <w:t>olds in three major domains: reading, mathematics and science. These literacy scores are often used</w:t>
      </w:r>
      <w:r w:rsidR="008A3466">
        <w:t xml:space="preserve"> as </w:t>
      </w:r>
      <w:r w:rsidR="00277EAB">
        <w:t>proxies for academic performance</w:t>
      </w:r>
      <w:r w:rsidRPr="00F23728">
        <w:t>. In this stu</w:t>
      </w:r>
      <w:r w:rsidR="008A3466">
        <w:t xml:space="preserve">dy, </w:t>
      </w:r>
      <w:r w:rsidR="00277EAB">
        <w:t xml:space="preserve">a composite </w:t>
      </w:r>
      <w:r w:rsidR="00277EAB">
        <w:lastRenderedPageBreak/>
        <w:t>academic performance</w:t>
      </w:r>
      <w:r w:rsidR="00E00F17">
        <w:t xml:space="preserve"> measure wa</w:t>
      </w:r>
      <w:r w:rsidRPr="00F23728">
        <w:t>s created by averaging students’ reading and mathematics literacy scores</w:t>
      </w:r>
      <w:r w:rsidR="00DE1C01">
        <w:t>.</w:t>
      </w:r>
      <w:r w:rsidR="00076F49" w:rsidRPr="00F23728">
        <w:rPr>
          <w:vertAlign w:val="superscript"/>
        </w:rPr>
        <w:footnoteReference w:id="8"/>
      </w:r>
      <w:r w:rsidRPr="00F23728">
        <w:t xml:space="preserve"> Science scores were omitted to avoid </w:t>
      </w:r>
      <w:r w:rsidR="00076F49">
        <w:t>multi-</w:t>
      </w:r>
      <w:r w:rsidRPr="00F23728">
        <w:t>collinearity.</w:t>
      </w:r>
    </w:p>
    <w:p w:rsidR="00F23728" w:rsidRPr="00F23728" w:rsidRDefault="00F23728" w:rsidP="0035550A">
      <w:pPr>
        <w:pStyle w:val="Heading3"/>
      </w:pPr>
      <w:r w:rsidRPr="00F23728">
        <w:t>Perception</w:t>
      </w:r>
      <w:r w:rsidR="00602014">
        <w:t>s</w:t>
      </w:r>
      <w:r w:rsidRPr="00F23728">
        <w:t xml:space="preserve"> of school</w:t>
      </w:r>
    </w:p>
    <w:p w:rsidR="004A479F" w:rsidRPr="004A479F" w:rsidRDefault="00DE1C01" w:rsidP="0035550A">
      <w:pPr>
        <w:pStyle w:val="Textlessbefore"/>
      </w:pPr>
      <w:r>
        <w:t>The LSAY—</w:t>
      </w:r>
      <w:r w:rsidR="004A479F" w:rsidRPr="004A479F">
        <w:t xml:space="preserve">PISA 2009 dataset contains information </w:t>
      </w:r>
      <w:r w:rsidR="004B6514">
        <w:t>on</w:t>
      </w:r>
      <w:r w:rsidR="004A479F" w:rsidRPr="004A479F">
        <w:t xml:space="preserve"> four aspects of schooling that relate to how students perceive their overall school experience:</w:t>
      </w:r>
    </w:p>
    <w:p w:rsidR="004A479F" w:rsidRPr="004A479F" w:rsidRDefault="00076F49" w:rsidP="004A479F">
      <w:pPr>
        <w:pStyle w:val="Dotpoint1"/>
        <w:rPr>
          <w:color w:val="auto"/>
        </w:rPr>
      </w:pPr>
      <w:r>
        <w:rPr>
          <w:color w:val="auto"/>
        </w:rPr>
        <w:t>a</w:t>
      </w:r>
      <w:r w:rsidR="004A479F" w:rsidRPr="004A479F">
        <w:rPr>
          <w:color w:val="auto"/>
        </w:rPr>
        <w:t>ttitudes toward school</w:t>
      </w:r>
    </w:p>
    <w:p w:rsidR="004A479F" w:rsidRPr="004A479F" w:rsidRDefault="00076F49" w:rsidP="004A479F">
      <w:pPr>
        <w:pStyle w:val="Dotpoint1"/>
        <w:rPr>
          <w:color w:val="auto"/>
        </w:rPr>
      </w:pPr>
      <w:r>
        <w:rPr>
          <w:color w:val="auto"/>
        </w:rPr>
        <w:t>r</w:t>
      </w:r>
      <w:r w:rsidR="004A479F" w:rsidRPr="004A479F">
        <w:rPr>
          <w:color w:val="auto"/>
        </w:rPr>
        <w:t>elations to teachers</w:t>
      </w:r>
    </w:p>
    <w:p w:rsidR="004A479F" w:rsidRPr="004A479F" w:rsidRDefault="00076F49" w:rsidP="004A479F">
      <w:pPr>
        <w:pStyle w:val="Dotpoint1"/>
        <w:rPr>
          <w:color w:val="auto"/>
        </w:rPr>
      </w:pPr>
      <w:r>
        <w:rPr>
          <w:color w:val="auto"/>
        </w:rPr>
        <w:t>t</w:t>
      </w:r>
      <w:r w:rsidR="004A479F" w:rsidRPr="004A479F">
        <w:rPr>
          <w:color w:val="auto"/>
        </w:rPr>
        <w:t>he perceived disciplinary climate at their school</w:t>
      </w:r>
    </w:p>
    <w:p w:rsidR="004A479F" w:rsidRPr="004A479F" w:rsidRDefault="00076F49" w:rsidP="004A479F">
      <w:pPr>
        <w:pStyle w:val="Dotpoint1"/>
        <w:rPr>
          <w:color w:val="auto"/>
        </w:rPr>
      </w:pPr>
      <w:r>
        <w:rPr>
          <w:color w:val="auto"/>
        </w:rPr>
        <w:t>t</w:t>
      </w:r>
      <w:r w:rsidR="004A479F" w:rsidRPr="004A479F">
        <w:rPr>
          <w:color w:val="auto"/>
        </w:rPr>
        <w:t>he perceived quality of teachers at their school</w:t>
      </w:r>
      <w:r>
        <w:rPr>
          <w:color w:val="auto"/>
        </w:rPr>
        <w:t>.</w:t>
      </w:r>
    </w:p>
    <w:p w:rsidR="0035550A" w:rsidRDefault="004A479F" w:rsidP="00982569">
      <w:pPr>
        <w:pStyle w:val="Text"/>
      </w:pPr>
      <w:r w:rsidRPr="004A479F">
        <w:t xml:space="preserve">Information </w:t>
      </w:r>
      <w:r w:rsidR="004B6514">
        <w:t>on</w:t>
      </w:r>
      <w:r w:rsidRPr="004A479F">
        <w:t xml:space="preserve"> each of these four aspects of schooling is available in two different formats</w:t>
      </w:r>
      <w:r w:rsidR="007A3D94">
        <w:t>:</w:t>
      </w:r>
      <w:r w:rsidRPr="004A479F">
        <w:t xml:space="preserve"> </w:t>
      </w:r>
      <w:r w:rsidR="007A3D94">
        <w:t>as</w:t>
      </w:r>
      <w:r w:rsidR="007A3D94" w:rsidRPr="004A479F">
        <w:t xml:space="preserve"> raw responses to individual questionnaire items</w:t>
      </w:r>
      <w:r w:rsidR="007A3D94">
        <w:t xml:space="preserve"> and as</w:t>
      </w:r>
      <w:r w:rsidR="00D327C3">
        <w:t xml:space="preserve"> </w:t>
      </w:r>
      <w:r w:rsidRPr="004A479F">
        <w:t>composi</w:t>
      </w:r>
      <w:r w:rsidR="00D327C3">
        <w:t>te summary score</w:t>
      </w:r>
      <w:r w:rsidR="007A3D94">
        <w:t>s</w:t>
      </w:r>
      <w:r w:rsidRPr="004A479F">
        <w:t>.</w:t>
      </w:r>
      <w:r w:rsidR="007A3D94">
        <w:t xml:space="preserve"> Descriptive statistics for</w:t>
      </w:r>
      <w:r w:rsidRPr="004A479F">
        <w:t xml:space="preserve"> individual item responses </w:t>
      </w:r>
      <w:r w:rsidR="007A3D94">
        <w:t xml:space="preserve">and summary scores are provided </w:t>
      </w:r>
      <w:r w:rsidRPr="004A479F">
        <w:t xml:space="preserve">in </w:t>
      </w:r>
      <w:r w:rsidR="006E5B39">
        <w:t>section</w:t>
      </w:r>
      <w:r w:rsidR="008F4222">
        <w:t xml:space="preserve"> </w:t>
      </w:r>
      <w:r w:rsidR="00055EB7">
        <w:t>A</w:t>
      </w:r>
      <w:r w:rsidR="008F4222">
        <w:t xml:space="preserve"> of the accompanying support document</w:t>
      </w:r>
      <w:r w:rsidRPr="004A479F">
        <w:t>.</w:t>
      </w:r>
    </w:p>
    <w:p w:rsidR="00F23728" w:rsidRPr="00F97A46" w:rsidRDefault="00F23728" w:rsidP="00982569">
      <w:pPr>
        <w:pStyle w:val="Text"/>
      </w:pPr>
      <w:r>
        <w:br w:type="page"/>
      </w:r>
    </w:p>
    <w:p w:rsidR="00477E9D" w:rsidRDefault="002B0BB3" w:rsidP="00F23728">
      <w:pPr>
        <w:pStyle w:val="Heading1"/>
      </w:pPr>
      <w:bookmarkStart w:id="48" w:name="_Toc380048244"/>
      <w:r>
        <w:lastRenderedPageBreak/>
        <w:t>Which are the strongest drivers of</w:t>
      </w:r>
      <w:r w:rsidR="00F14466">
        <w:t> </w:t>
      </w:r>
      <w:r>
        <w:t>aspirations</w:t>
      </w:r>
      <w:r w:rsidR="001008C8">
        <w:t>?</w:t>
      </w:r>
      <w:bookmarkEnd w:id="48"/>
    </w:p>
    <w:p w:rsidR="004A479F" w:rsidRDefault="002B0BB3" w:rsidP="00573529">
      <w:pPr>
        <w:pStyle w:val="Text"/>
        <w:rPr>
          <w:rFonts w:eastAsia="Calibri"/>
        </w:rPr>
      </w:pPr>
      <w:r>
        <w:rPr>
          <w:rFonts w:eastAsia="Calibri"/>
        </w:rPr>
        <w:t>To gain a basic</w:t>
      </w:r>
      <w:r w:rsidR="004A479F" w:rsidRPr="004A479F">
        <w:rPr>
          <w:rFonts w:eastAsia="Calibri"/>
        </w:rPr>
        <w:t xml:space="preserve"> understanding of </w:t>
      </w:r>
      <w:r w:rsidR="00DE1C01">
        <w:rPr>
          <w:rFonts w:eastAsia="Calibri"/>
        </w:rPr>
        <w:t>the</w:t>
      </w:r>
      <w:r w:rsidR="004A479F" w:rsidRPr="004A479F">
        <w:rPr>
          <w:rFonts w:eastAsia="Calibri"/>
        </w:rPr>
        <w:t xml:space="preserve"> factors</w:t>
      </w:r>
      <w:r w:rsidR="00DE1C01">
        <w:rPr>
          <w:rFonts w:eastAsia="Calibri"/>
        </w:rPr>
        <w:t xml:space="preserve"> in the LSAY 2009 dataset that</w:t>
      </w:r>
      <w:r w:rsidR="004A479F" w:rsidRPr="004A479F">
        <w:rPr>
          <w:rFonts w:eastAsia="Calibri"/>
        </w:rPr>
        <w:t xml:space="preserve"> d</w:t>
      </w:r>
      <w:r w:rsidR="00826118">
        <w:rPr>
          <w:rFonts w:eastAsia="Calibri"/>
        </w:rPr>
        <w:t>rive young people’s aspirations</w:t>
      </w:r>
      <w:r w:rsidR="00747A10">
        <w:rPr>
          <w:rFonts w:eastAsia="Calibri"/>
        </w:rPr>
        <w:t>,</w:t>
      </w:r>
      <w:r w:rsidR="00573529">
        <w:rPr>
          <w:rFonts w:eastAsia="Calibri"/>
        </w:rPr>
        <w:t xml:space="preserve"> regression models were fitted</w:t>
      </w:r>
      <w:r w:rsidR="004A479F" w:rsidRPr="004A479F">
        <w:rPr>
          <w:rFonts w:eastAsia="Calibri"/>
        </w:rPr>
        <w:t xml:space="preserve"> for each of the three outcomes under consideration. Logistic regression models were fitted for the two binary outcomes: planning to complete Year 12 (yes/no), and planning to attend university immediately after leaving school (yes/no). A standard </w:t>
      </w:r>
      <w:r w:rsidR="00DE1C01">
        <w:rPr>
          <w:rFonts w:eastAsia="Calibri"/>
        </w:rPr>
        <w:t>ordinary least squares (</w:t>
      </w:r>
      <w:r w:rsidR="004A479F" w:rsidRPr="004A479F">
        <w:rPr>
          <w:rFonts w:eastAsia="Calibri"/>
        </w:rPr>
        <w:t>OLS</w:t>
      </w:r>
      <w:r w:rsidR="00DE1C01">
        <w:rPr>
          <w:rFonts w:eastAsia="Calibri"/>
        </w:rPr>
        <w:t>)</w:t>
      </w:r>
      <w:r w:rsidR="004A479F" w:rsidRPr="004A479F">
        <w:rPr>
          <w:rFonts w:eastAsia="Calibri"/>
        </w:rPr>
        <w:t xml:space="preserve"> regression model was fitted for the continuous outcome of </w:t>
      </w:r>
      <w:r w:rsidR="007D0F1F">
        <w:rPr>
          <w:rFonts w:eastAsia="Calibri"/>
        </w:rPr>
        <w:t>expected occupational</w:t>
      </w:r>
      <w:r w:rsidR="004A479F" w:rsidRPr="004A479F">
        <w:rPr>
          <w:rFonts w:eastAsia="Calibri"/>
        </w:rPr>
        <w:t xml:space="preserve"> status at age 30</w:t>
      </w:r>
      <w:r w:rsidR="00FB5195">
        <w:rPr>
          <w:rFonts w:eastAsia="Calibri"/>
        </w:rPr>
        <w:t xml:space="preserve"> years</w:t>
      </w:r>
      <w:r w:rsidR="00DE1C01">
        <w:rPr>
          <w:rFonts w:eastAsia="Calibri"/>
        </w:rPr>
        <w:t xml:space="preserve"> (using </w:t>
      </w:r>
      <w:r w:rsidR="000F7AC7" w:rsidRPr="00F23728">
        <w:t>AUSEI06</w:t>
      </w:r>
      <w:r w:rsidR="00826118">
        <w:t>; McMillan et al.</w:t>
      </w:r>
      <w:r w:rsidR="000F7AC7" w:rsidRPr="00F23728">
        <w:t xml:space="preserve"> 2009)</w:t>
      </w:r>
      <w:r w:rsidR="004A479F" w:rsidRPr="004A479F">
        <w:rPr>
          <w:rFonts w:eastAsia="Calibri"/>
        </w:rPr>
        <w:t>.</w:t>
      </w:r>
      <w:r w:rsidR="00573529">
        <w:rPr>
          <w:rFonts w:eastAsia="Calibri"/>
        </w:rPr>
        <w:t xml:space="preserve"> </w:t>
      </w:r>
      <w:r w:rsidR="004A479F" w:rsidRPr="004A479F">
        <w:rPr>
          <w:rFonts w:eastAsia="Calibri"/>
        </w:rPr>
        <w:t xml:space="preserve">The explanatory variables </w:t>
      </w:r>
      <w:r w:rsidR="00B0495B">
        <w:rPr>
          <w:rFonts w:eastAsia="Calibri"/>
        </w:rPr>
        <w:t xml:space="preserve">consisted of the </w:t>
      </w:r>
      <w:r w:rsidR="004A479F" w:rsidRPr="004A479F">
        <w:rPr>
          <w:rFonts w:eastAsia="Calibri"/>
        </w:rPr>
        <w:t xml:space="preserve">predictors described </w:t>
      </w:r>
      <w:r w:rsidR="00F139E8">
        <w:rPr>
          <w:rFonts w:eastAsia="Calibri"/>
        </w:rPr>
        <w:t>in the previous section</w:t>
      </w:r>
      <w:r w:rsidR="00FB5195">
        <w:rPr>
          <w:rFonts w:eastAsia="Calibri"/>
        </w:rPr>
        <w:t xml:space="preserve"> —</w:t>
      </w:r>
      <w:r w:rsidR="004A479F" w:rsidRPr="004A479F">
        <w:rPr>
          <w:rFonts w:eastAsia="Calibri"/>
        </w:rPr>
        <w:t xml:space="preserve"> socio-demographic background char</w:t>
      </w:r>
      <w:r w:rsidR="00277EAB">
        <w:rPr>
          <w:rFonts w:eastAsia="Calibri"/>
        </w:rPr>
        <w:t>acteristics, academic performance</w:t>
      </w:r>
      <w:r w:rsidR="004A479F" w:rsidRPr="004A479F">
        <w:rPr>
          <w:rFonts w:eastAsia="Calibri"/>
        </w:rPr>
        <w:t>, parental and peer influences, and four aspects of schooling that relate to studen</w:t>
      </w:r>
      <w:r w:rsidR="000F7AC7">
        <w:rPr>
          <w:rFonts w:eastAsia="Calibri"/>
        </w:rPr>
        <w:t>ts’ overall perceptions of the</w:t>
      </w:r>
      <w:r w:rsidR="00830A2B">
        <w:rPr>
          <w:rFonts w:eastAsia="Calibri"/>
        </w:rPr>
        <w:t>ir</w:t>
      </w:r>
      <w:r w:rsidR="004A479F" w:rsidRPr="004A479F">
        <w:rPr>
          <w:rFonts w:eastAsia="Calibri"/>
        </w:rPr>
        <w:t xml:space="preserve"> school experience</w:t>
      </w:r>
      <w:r w:rsidR="00573529">
        <w:rPr>
          <w:rFonts w:eastAsia="Calibri"/>
        </w:rPr>
        <w:t>.</w:t>
      </w:r>
    </w:p>
    <w:p w:rsidR="00573529" w:rsidRDefault="00573529" w:rsidP="00573529">
      <w:pPr>
        <w:pStyle w:val="Heading2"/>
        <w:rPr>
          <w:rFonts w:eastAsia="Calibri"/>
        </w:rPr>
      </w:pPr>
      <w:bookmarkStart w:id="49" w:name="_Toc380048245"/>
      <w:r>
        <w:rPr>
          <w:rFonts w:eastAsia="Calibri"/>
        </w:rPr>
        <w:t>Plans to complete Year 12</w:t>
      </w:r>
      <w:bookmarkEnd w:id="49"/>
    </w:p>
    <w:p w:rsidR="00871BC8" w:rsidRDefault="00F25C33" w:rsidP="00871BC8">
      <w:pPr>
        <w:pStyle w:val="Text"/>
        <w:rPr>
          <w:rFonts w:eastAsia="Calibri"/>
        </w:rPr>
      </w:pPr>
      <w:r w:rsidRPr="00E0151A">
        <w:t xml:space="preserve">The </w:t>
      </w:r>
      <w:r>
        <w:t xml:space="preserve">first </w:t>
      </w:r>
      <w:r w:rsidRPr="00E0151A">
        <w:t>outcome variable</w:t>
      </w:r>
      <w:r w:rsidR="00747A10">
        <w:t xml:space="preserve"> was whether</w:t>
      </w:r>
      <w:r w:rsidRPr="00E0151A">
        <w:t xml:space="preserve"> </w:t>
      </w:r>
      <w:r w:rsidR="003C5EA7">
        <w:t>student</w:t>
      </w:r>
      <w:r w:rsidRPr="00E0151A">
        <w:t xml:space="preserve">s </w:t>
      </w:r>
      <w:r w:rsidR="00747A10">
        <w:t xml:space="preserve">at age 15 </w:t>
      </w:r>
      <w:r w:rsidR="00FB5195">
        <w:t xml:space="preserve">years </w:t>
      </w:r>
      <w:r w:rsidR="00747A10">
        <w:t>expected</w:t>
      </w:r>
      <w:r>
        <w:t xml:space="preserve"> to complete Year 12</w:t>
      </w:r>
      <w:r w:rsidRPr="00E0151A">
        <w:t xml:space="preserve"> (</w:t>
      </w:r>
      <w:r w:rsidR="00826118">
        <w:t>yes/</w:t>
      </w:r>
      <w:r>
        <w:t>no).</w:t>
      </w:r>
      <w:r w:rsidR="005051F4">
        <w:t xml:space="preserve"> </w:t>
      </w:r>
      <w:r w:rsidR="005051F4">
        <w:rPr>
          <w:rFonts w:eastAsia="Calibri"/>
        </w:rPr>
        <w:t>The pooled</w:t>
      </w:r>
      <w:r w:rsidR="005051F4">
        <w:rPr>
          <w:rStyle w:val="FootnoteReference"/>
          <w:rFonts w:eastAsia="Calibri"/>
        </w:rPr>
        <w:footnoteReference w:id="9"/>
      </w:r>
      <w:r w:rsidR="005051F4">
        <w:rPr>
          <w:rFonts w:eastAsia="Calibri"/>
        </w:rPr>
        <w:t xml:space="preserve"> logistic regression results for </w:t>
      </w:r>
      <w:r w:rsidR="00747A10">
        <w:rPr>
          <w:rFonts w:eastAsia="Calibri"/>
        </w:rPr>
        <w:t>this outcome are</w:t>
      </w:r>
      <w:r w:rsidR="005051F4">
        <w:rPr>
          <w:rFonts w:eastAsia="Calibri"/>
        </w:rPr>
        <w:t xml:space="preserve"> </w:t>
      </w:r>
      <w:r w:rsidR="00CC4D28">
        <w:rPr>
          <w:rFonts w:eastAsia="Calibri"/>
        </w:rPr>
        <w:t>provided</w:t>
      </w:r>
      <w:r w:rsidR="005051F4">
        <w:rPr>
          <w:rFonts w:eastAsia="Calibri"/>
        </w:rPr>
        <w:t xml:space="preserve"> in table </w:t>
      </w:r>
      <w:r w:rsidR="00EB20BB">
        <w:rPr>
          <w:rFonts w:eastAsia="Calibri"/>
        </w:rPr>
        <w:t>5</w:t>
      </w:r>
      <w:r w:rsidR="005051F4">
        <w:rPr>
          <w:rFonts w:eastAsia="Calibri"/>
        </w:rPr>
        <w:t>.</w:t>
      </w:r>
      <w:r w:rsidR="00871BC8" w:rsidRPr="00871BC8">
        <w:rPr>
          <w:rFonts w:eastAsia="Calibri"/>
        </w:rPr>
        <w:t xml:space="preserve"> </w:t>
      </w:r>
      <w:r w:rsidR="009F4199">
        <w:rPr>
          <w:rFonts w:eastAsia="Calibri"/>
        </w:rPr>
        <w:t>Influential predictors include</w:t>
      </w:r>
      <w:r w:rsidR="00871BC8">
        <w:rPr>
          <w:rFonts w:eastAsia="Calibri"/>
        </w:rPr>
        <w:t xml:space="preserve"> stu</w:t>
      </w:r>
      <w:r w:rsidR="009F4199">
        <w:rPr>
          <w:rFonts w:eastAsia="Calibri"/>
        </w:rPr>
        <w:t xml:space="preserve">dents’ academic performance, </w:t>
      </w:r>
      <w:r w:rsidR="00871BC8">
        <w:rPr>
          <w:rFonts w:eastAsia="Calibri"/>
        </w:rPr>
        <w:t>their immigration background</w:t>
      </w:r>
      <w:r w:rsidR="009F4199">
        <w:rPr>
          <w:rFonts w:eastAsia="Calibri"/>
        </w:rPr>
        <w:t xml:space="preserve"> and their parents’ higher education expectations</w:t>
      </w:r>
      <w:r w:rsidR="00871BC8">
        <w:rPr>
          <w:rFonts w:eastAsia="Calibri"/>
        </w:rPr>
        <w:t xml:space="preserve">. In particular, students whose parents want them to attend university are </w:t>
      </w:r>
      <w:r w:rsidR="00871BC8" w:rsidRPr="00DE6371">
        <w:rPr>
          <w:rFonts w:eastAsia="Calibri"/>
          <w:i/>
        </w:rPr>
        <w:t>four times</w:t>
      </w:r>
      <w:r w:rsidR="00871BC8">
        <w:rPr>
          <w:rFonts w:eastAsia="Calibri"/>
        </w:rPr>
        <w:t xml:space="preserve"> more likely to complete Year 12 than those whose parents </w:t>
      </w:r>
      <w:r w:rsidR="00FB5195">
        <w:rPr>
          <w:rFonts w:eastAsia="Calibri"/>
        </w:rPr>
        <w:t>would like</w:t>
      </w:r>
      <w:r w:rsidR="00871BC8">
        <w:rPr>
          <w:rFonts w:eastAsia="Calibri"/>
        </w:rPr>
        <w:t xml:space="preserve"> them to choose a non-university pathway.</w:t>
      </w:r>
    </w:p>
    <w:p w:rsidR="00871BC8" w:rsidRDefault="00871BC8" w:rsidP="00871BC8">
      <w:pPr>
        <w:pStyle w:val="Text"/>
        <w:rPr>
          <w:rFonts w:eastAsia="Calibri"/>
        </w:rPr>
      </w:pPr>
      <w:r>
        <w:rPr>
          <w:rFonts w:eastAsia="Calibri"/>
        </w:rPr>
        <w:t xml:space="preserve">Note that </w:t>
      </w:r>
      <w:r w:rsidR="004B6514">
        <w:rPr>
          <w:rFonts w:eastAsia="Calibri"/>
        </w:rPr>
        <w:t xml:space="preserve">the </w:t>
      </w:r>
      <w:r>
        <w:rPr>
          <w:rFonts w:eastAsia="Calibri"/>
        </w:rPr>
        <w:t>results for the predictor ‘</w:t>
      </w:r>
      <w:r w:rsidRPr="008256DA">
        <w:rPr>
          <w:rFonts w:eastAsia="Calibri"/>
        </w:rPr>
        <w:t>Indigenous status</w:t>
      </w:r>
      <w:r>
        <w:rPr>
          <w:rFonts w:eastAsia="Calibri"/>
        </w:rPr>
        <w:t>’ are somewhat counterintuitive, as they associate</w:t>
      </w:r>
      <w:r w:rsidRPr="008C7CA3">
        <w:rPr>
          <w:rFonts w:eastAsia="Calibri"/>
        </w:rPr>
        <w:t xml:space="preserve"> </w:t>
      </w:r>
      <w:r>
        <w:rPr>
          <w:rFonts w:eastAsia="Calibri"/>
        </w:rPr>
        <w:t xml:space="preserve">being </w:t>
      </w:r>
      <w:r w:rsidRPr="008C7CA3">
        <w:rPr>
          <w:rFonts w:eastAsia="Calibri"/>
        </w:rPr>
        <w:t xml:space="preserve">Indigenous </w:t>
      </w:r>
      <w:r>
        <w:rPr>
          <w:rFonts w:eastAsia="Calibri"/>
        </w:rPr>
        <w:t xml:space="preserve">with </w:t>
      </w:r>
      <w:r>
        <w:rPr>
          <w:rFonts w:eastAsia="Calibri"/>
          <w:i/>
        </w:rPr>
        <w:t>stronger</w:t>
      </w:r>
      <w:r>
        <w:rPr>
          <w:rFonts w:eastAsia="Calibri"/>
        </w:rPr>
        <w:t xml:space="preserve"> Year 12 completion aspirations</w:t>
      </w:r>
      <w:r w:rsidRPr="008C7CA3">
        <w:rPr>
          <w:rFonts w:eastAsia="Calibri"/>
        </w:rPr>
        <w:t xml:space="preserve">. </w:t>
      </w:r>
      <w:r>
        <w:rPr>
          <w:rFonts w:eastAsia="Calibri"/>
        </w:rPr>
        <w:t>One likely reason is selection bias, given that participants were interviewed at age 15</w:t>
      </w:r>
      <w:r w:rsidR="00FB5195">
        <w:rPr>
          <w:rFonts w:eastAsia="Calibri"/>
        </w:rPr>
        <w:t xml:space="preserve"> years</w:t>
      </w:r>
      <w:r>
        <w:rPr>
          <w:rFonts w:eastAsia="Calibri"/>
        </w:rPr>
        <w:t xml:space="preserve">. It is likely that the Indigenous students in the LSAY sample are systematically different from those Indigenous students who had </w:t>
      </w:r>
      <w:r w:rsidRPr="007C79D0">
        <w:rPr>
          <w:rFonts w:eastAsia="Calibri"/>
          <w:i/>
        </w:rPr>
        <w:t>already dropped out of school</w:t>
      </w:r>
      <w:r>
        <w:rPr>
          <w:rFonts w:eastAsia="Calibri"/>
        </w:rPr>
        <w:t xml:space="preserve"> prior to age 15</w:t>
      </w:r>
      <w:r w:rsidR="00FB5195">
        <w:rPr>
          <w:rFonts w:eastAsia="Calibri"/>
        </w:rPr>
        <w:t xml:space="preserve"> years</w:t>
      </w:r>
      <w:r>
        <w:rPr>
          <w:rFonts w:eastAsia="Calibri"/>
        </w:rPr>
        <w:t xml:space="preserve">. In other words, the Indigenous students who were interviewed, having stayed in school to </w:t>
      </w:r>
      <w:r w:rsidR="00FB5195">
        <w:rPr>
          <w:rFonts w:eastAsia="Calibri"/>
        </w:rPr>
        <w:t>age 15 years</w:t>
      </w:r>
      <w:r>
        <w:rPr>
          <w:rFonts w:eastAsia="Calibri"/>
        </w:rPr>
        <w:t>, may be far more res</w:t>
      </w:r>
      <w:r w:rsidR="00FB5195">
        <w:rPr>
          <w:rFonts w:eastAsia="Calibri"/>
        </w:rPr>
        <w:t>ilient and goal-orient</w:t>
      </w:r>
      <w:r>
        <w:rPr>
          <w:rFonts w:eastAsia="Calibri"/>
        </w:rPr>
        <w:t xml:space="preserve">ed than Indigenous students who </w:t>
      </w:r>
      <w:r w:rsidR="00A721FC">
        <w:rPr>
          <w:rFonts w:eastAsia="Calibri"/>
        </w:rPr>
        <w:t xml:space="preserve">had </w:t>
      </w:r>
      <w:r>
        <w:rPr>
          <w:rFonts w:eastAsia="Calibri"/>
        </w:rPr>
        <w:t xml:space="preserve">left school before </w:t>
      </w:r>
      <w:r w:rsidR="004B6514">
        <w:rPr>
          <w:rFonts w:eastAsia="Calibri"/>
        </w:rPr>
        <w:t xml:space="preserve">the </w:t>
      </w:r>
      <w:r w:rsidR="00FB5195">
        <w:rPr>
          <w:rFonts w:eastAsia="Calibri"/>
        </w:rPr>
        <w:t>age</w:t>
      </w:r>
      <w:r w:rsidR="004B6514">
        <w:rPr>
          <w:rFonts w:eastAsia="Calibri"/>
        </w:rPr>
        <w:t xml:space="preserve"> of</w:t>
      </w:r>
      <w:r w:rsidR="00FB5195">
        <w:rPr>
          <w:rFonts w:eastAsia="Calibri"/>
        </w:rPr>
        <w:t xml:space="preserve"> 15 years</w:t>
      </w:r>
      <w:r>
        <w:rPr>
          <w:rFonts w:eastAsia="Calibri"/>
        </w:rPr>
        <w:t>. In support of this hypothesis, Homel et al. (2012) found that Year 12 completion among Indigenous students in the LSAY Y03 cohort was much higher than that found in the broader population.</w:t>
      </w:r>
    </w:p>
    <w:p w:rsidR="00340D2F" w:rsidRPr="00340D2F" w:rsidRDefault="00871BC8" w:rsidP="005051F4">
      <w:pPr>
        <w:pStyle w:val="Text"/>
        <w:rPr>
          <w:rFonts w:eastAsia="Calibri"/>
        </w:rPr>
      </w:pPr>
      <w:r>
        <w:rPr>
          <w:rFonts w:eastAsia="Calibri"/>
        </w:rPr>
        <w:t>To understand this counterintuitive result for Indigenous students more fully, Indigenous status was cross-tabulated</w:t>
      </w:r>
      <w:r w:rsidR="004B6514">
        <w:rPr>
          <w:rFonts w:eastAsia="Calibri"/>
        </w:rPr>
        <w:t xml:space="preserve"> against academic performance. The r</w:t>
      </w:r>
      <w:r>
        <w:rPr>
          <w:rFonts w:eastAsia="Calibri"/>
        </w:rPr>
        <w:t xml:space="preserve">esults show that Indigenous students in the lowest academic performance bands are </w:t>
      </w:r>
      <w:r w:rsidRPr="007C79D0">
        <w:rPr>
          <w:rFonts w:eastAsia="Calibri"/>
          <w:i/>
        </w:rPr>
        <w:t>more likely</w:t>
      </w:r>
      <w:r>
        <w:rPr>
          <w:rFonts w:eastAsia="Calibri"/>
        </w:rPr>
        <w:t xml:space="preserve"> than their non-Indigenous counterparts to </w:t>
      </w:r>
      <w:r w:rsidR="00600DE9">
        <w:rPr>
          <w:rFonts w:eastAsia="Calibri"/>
        </w:rPr>
        <w:t>state</w:t>
      </w:r>
      <w:r>
        <w:rPr>
          <w:rFonts w:eastAsia="Calibri"/>
        </w:rPr>
        <w:t xml:space="preserve"> that they plan to complete Year 12. A detailed discussion of this finding is provided in section </w:t>
      </w:r>
      <w:r w:rsidR="006E5B39">
        <w:rPr>
          <w:rFonts w:eastAsia="Calibri"/>
        </w:rPr>
        <w:t>B</w:t>
      </w:r>
      <w:r>
        <w:rPr>
          <w:rFonts w:eastAsia="Calibri"/>
        </w:rPr>
        <w:t xml:space="preserve"> of the accompanying support document.</w:t>
      </w:r>
    </w:p>
    <w:p w:rsidR="00573529" w:rsidRDefault="00573529">
      <w:pPr>
        <w:spacing w:before="0" w:line="240" w:lineRule="auto"/>
        <w:rPr>
          <w:rFonts w:ascii="Tahoma" w:eastAsia="Calibri" w:hAnsi="Tahoma"/>
          <w:b/>
          <w:sz w:val="17"/>
        </w:rPr>
      </w:pPr>
      <w:bookmarkStart w:id="50" w:name="_Ref349552683"/>
      <w:bookmarkStart w:id="51" w:name="_Ref349552724"/>
      <w:bookmarkStart w:id="52" w:name="OLE_LINK11"/>
      <w:bookmarkStart w:id="53" w:name="OLE_LINK12"/>
      <w:r>
        <w:rPr>
          <w:rFonts w:eastAsia="Calibri"/>
        </w:rPr>
        <w:br w:type="page"/>
      </w:r>
    </w:p>
    <w:p w:rsidR="00D244D0" w:rsidRDefault="00C51795" w:rsidP="00585B8F">
      <w:pPr>
        <w:pStyle w:val="tabletitle"/>
        <w:rPr>
          <w:rFonts w:eastAsia="Calibri"/>
        </w:rPr>
      </w:pPr>
      <w:bookmarkStart w:id="54" w:name="_Toc377396982"/>
      <w:r>
        <w:rPr>
          <w:rFonts w:eastAsia="Calibri"/>
        </w:rPr>
        <w:lastRenderedPageBreak/>
        <w:t xml:space="preserve">Table </w:t>
      </w:r>
      <w:bookmarkEnd w:id="50"/>
      <w:bookmarkEnd w:id="51"/>
      <w:r w:rsidR="00EB20BB">
        <w:t>5</w:t>
      </w:r>
      <w:r w:rsidR="00B23FDB">
        <w:tab/>
      </w:r>
      <w:r>
        <w:rPr>
          <w:rFonts w:eastAsia="Calibri"/>
        </w:rPr>
        <w:t>Logistic regression resu</w:t>
      </w:r>
      <w:r w:rsidR="00133B8B">
        <w:rPr>
          <w:rFonts w:eastAsia="Calibri"/>
        </w:rPr>
        <w:t xml:space="preserve">lts </w:t>
      </w:r>
      <w:r w:rsidR="006B7248">
        <w:rPr>
          <w:rFonts w:eastAsia="Calibri"/>
        </w:rPr>
        <w:t xml:space="preserve">for </w:t>
      </w:r>
      <w:r w:rsidR="00B61B40">
        <w:rPr>
          <w:rFonts w:eastAsia="Calibri"/>
        </w:rPr>
        <w:t>planning</w:t>
      </w:r>
      <w:r w:rsidR="008A5414">
        <w:rPr>
          <w:rFonts w:eastAsia="Calibri"/>
        </w:rPr>
        <w:t xml:space="preserve"> to complete Year 12</w:t>
      </w:r>
      <w:bookmarkStart w:id="55" w:name="OLE_LINK7"/>
      <w:bookmarkStart w:id="56" w:name="OLE_LINK8"/>
      <w:r w:rsidR="00D93291" w:rsidRPr="00D93291">
        <w:rPr>
          <w:rFonts w:eastAsia="Calibri"/>
          <w:vertAlign w:val="superscript"/>
        </w:rPr>
        <w:t>1</w:t>
      </w:r>
      <w:bookmarkEnd w:id="54"/>
    </w:p>
    <w:tbl>
      <w:tblPr>
        <w:tblW w:w="8789" w:type="dxa"/>
        <w:tblInd w:w="57" w:type="dxa"/>
        <w:tblLayout w:type="fixed"/>
        <w:tblCellMar>
          <w:left w:w="57" w:type="dxa"/>
          <w:right w:w="57" w:type="dxa"/>
        </w:tblCellMar>
        <w:tblLook w:val="0000" w:firstRow="0" w:lastRow="0" w:firstColumn="0" w:lastColumn="0" w:noHBand="0" w:noVBand="0"/>
      </w:tblPr>
      <w:tblGrid>
        <w:gridCol w:w="2575"/>
        <w:gridCol w:w="2244"/>
        <w:gridCol w:w="992"/>
        <w:gridCol w:w="993"/>
        <w:gridCol w:w="992"/>
        <w:gridCol w:w="993"/>
      </w:tblGrid>
      <w:tr w:rsidR="000225DF" w:rsidRPr="00F14466" w:rsidTr="00B81B98">
        <w:tc>
          <w:tcPr>
            <w:tcW w:w="2575" w:type="dxa"/>
            <w:tcBorders>
              <w:top w:val="single" w:sz="4" w:space="0" w:color="000000"/>
              <w:bottom w:val="single" w:sz="4" w:space="0" w:color="000000"/>
            </w:tcBorders>
          </w:tcPr>
          <w:bookmarkEnd w:id="52"/>
          <w:bookmarkEnd w:id="53"/>
          <w:bookmarkEnd w:id="55"/>
          <w:bookmarkEnd w:id="56"/>
          <w:p w:rsidR="000225DF" w:rsidRPr="00F14466" w:rsidRDefault="000225DF" w:rsidP="00F14466">
            <w:pPr>
              <w:pStyle w:val="Tablehead1"/>
              <w:rPr>
                <w:rFonts w:eastAsia="Calibri"/>
              </w:rPr>
            </w:pPr>
            <w:r w:rsidRPr="00F14466">
              <w:rPr>
                <w:rFonts w:eastAsia="Calibri"/>
              </w:rPr>
              <w:t>Parameter</w:t>
            </w:r>
          </w:p>
        </w:tc>
        <w:tc>
          <w:tcPr>
            <w:tcW w:w="2244" w:type="dxa"/>
            <w:tcBorders>
              <w:top w:val="single" w:sz="4" w:space="0" w:color="000000"/>
              <w:bottom w:val="single" w:sz="4" w:space="0" w:color="000000"/>
            </w:tcBorders>
          </w:tcPr>
          <w:p w:rsidR="000225DF" w:rsidRPr="00F14466" w:rsidRDefault="000225DF" w:rsidP="00F14466">
            <w:pPr>
              <w:pStyle w:val="Tablehead1"/>
              <w:rPr>
                <w:rFonts w:eastAsia="Calibri"/>
              </w:rPr>
            </w:pPr>
            <w:r w:rsidRPr="00F14466">
              <w:rPr>
                <w:rFonts w:eastAsia="Calibri"/>
              </w:rPr>
              <w:t>Level</w:t>
            </w:r>
          </w:p>
        </w:tc>
        <w:tc>
          <w:tcPr>
            <w:tcW w:w="992" w:type="dxa"/>
            <w:tcBorders>
              <w:top w:val="single" w:sz="4" w:space="0" w:color="000000"/>
              <w:bottom w:val="single" w:sz="4" w:space="0" w:color="000000"/>
            </w:tcBorders>
          </w:tcPr>
          <w:p w:rsidR="000225DF" w:rsidRPr="00F14466" w:rsidRDefault="00023B29" w:rsidP="00B81B98">
            <w:pPr>
              <w:pStyle w:val="Tablehead1"/>
              <w:jc w:val="center"/>
              <w:rPr>
                <w:rFonts w:eastAsia="Calibri"/>
              </w:rPr>
            </w:pPr>
            <w:r w:rsidRPr="00F14466">
              <w:rPr>
                <w:rFonts w:eastAsia="Calibri"/>
              </w:rPr>
              <w:t>β</w:t>
            </w:r>
          </w:p>
        </w:tc>
        <w:tc>
          <w:tcPr>
            <w:tcW w:w="993" w:type="dxa"/>
            <w:tcBorders>
              <w:top w:val="single" w:sz="4" w:space="0" w:color="000000"/>
              <w:bottom w:val="single" w:sz="4" w:space="0" w:color="000000"/>
            </w:tcBorders>
          </w:tcPr>
          <w:p w:rsidR="000225DF" w:rsidRPr="00F14466" w:rsidRDefault="00FB5195" w:rsidP="00B81B98">
            <w:pPr>
              <w:pStyle w:val="Tablehead1"/>
              <w:jc w:val="center"/>
              <w:rPr>
                <w:rFonts w:eastAsia="Calibri"/>
              </w:rPr>
            </w:pPr>
            <w:r w:rsidRPr="00F14466">
              <w:rPr>
                <w:rFonts w:eastAsia="Calibri"/>
              </w:rPr>
              <w:t xml:space="preserve">Std </w:t>
            </w:r>
            <w:r w:rsidR="00B81B98">
              <w:rPr>
                <w:rFonts w:eastAsia="Calibri"/>
              </w:rPr>
              <w:br/>
            </w:r>
            <w:r w:rsidRPr="00F14466">
              <w:rPr>
                <w:rFonts w:eastAsia="Calibri"/>
              </w:rPr>
              <w:t>error</w:t>
            </w:r>
          </w:p>
        </w:tc>
        <w:tc>
          <w:tcPr>
            <w:tcW w:w="992" w:type="dxa"/>
            <w:tcBorders>
              <w:top w:val="single" w:sz="4" w:space="0" w:color="000000"/>
              <w:bottom w:val="single" w:sz="4" w:space="0" w:color="000000"/>
            </w:tcBorders>
          </w:tcPr>
          <w:p w:rsidR="000225DF" w:rsidRPr="00F14466" w:rsidRDefault="00CC65C8" w:rsidP="00B81B98">
            <w:pPr>
              <w:pStyle w:val="Tablehead1"/>
              <w:jc w:val="center"/>
              <w:rPr>
                <w:rFonts w:eastAsia="Calibri"/>
              </w:rPr>
            </w:pPr>
            <w:r w:rsidRPr="00F14466">
              <w:rPr>
                <w:rFonts w:eastAsia="Calibri"/>
              </w:rPr>
              <w:t>O</w:t>
            </w:r>
            <w:r w:rsidR="00DA60E7" w:rsidRPr="00F14466">
              <w:rPr>
                <w:rFonts w:eastAsia="Calibri"/>
              </w:rPr>
              <w:t>dds</w:t>
            </w:r>
            <w:r w:rsidR="00707B5C" w:rsidRPr="00F14466">
              <w:rPr>
                <w:rFonts w:eastAsia="Calibri"/>
                <w:vertAlign w:val="superscript"/>
              </w:rPr>
              <w:t>2</w:t>
            </w:r>
            <w:r w:rsidR="00DA60E7" w:rsidRPr="00F14466">
              <w:rPr>
                <w:rFonts w:eastAsia="Calibri"/>
              </w:rPr>
              <w:t xml:space="preserve"> ratio</w:t>
            </w:r>
          </w:p>
        </w:tc>
        <w:tc>
          <w:tcPr>
            <w:tcW w:w="993" w:type="dxa"/>
            <w:tcBorders>
              <w:top w:val="single" w:sz="4" w:space="0" w:color="000000"/>
              <w:bottom w:val="single" w:sz="4" w:space="0" w:color="000000"/>
            </w:tcBorders>
          </w:tcPr>
          <w:p w:rsidR="000225DF" w:rsidRPr="00F14466" w:rsidRDefault="000225DF" w:rsidP="00B81B98">
            <w:pPr>
              <w:pStyle w:val="Tablehead1"/>
              <w:jc w:val="center"/>
              <w:rPr>
                <w:rFonts w:eastAsia="Calibri"/>
              </w:rPr>
            </w:pPr>
            <w:r w:rsidRPr="00F14466">
              <w:rPr>
                <w:rFonts w:eastAsia="Calibri"/>
              </w:rPr>
              <w:t>Pr &gt; |t|</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r w:rsidRPr="00046C85">
              <w:rPr>
                <w:rFonts w:eastAsia="Calibri"/>
              </w:rPr>
              <w:t>Gender</w:t>
            </w:r>
          </w:p>
        </w:tc>
        <w:tc>
          <w:tcPr>
            <w:tcW w:w="2244" w:type="dxa"/>
            <w:shd w:val="clear" w:color="auto" w:fill="auto"/>
          </w:tcPr>
          <w:p w:rsidR="00CE6D05" w:rsidRPr="00046C85" w:rsidRDefault="00CE6D05" w:rsidP="00F14466">
            <w:pPr>
              <w:pStyle w:val="Tabletext"/>
              <w:rPr>
                <w:rFonts w:eastAsia="Calibri"/>
              </w:rPr>
            </w:pPr>
            <w:r w:rsidRPr="00046C85">
              <w:rPr>
                <w:rFonts w:eastAsia="Calibri"/>
              </w:rPr>
              <w:t>Male</w:t>
            </w:r>
          </w:p>
        </w:tc>
        <w:tc>
          <w:tcPr>
            <w:tcW w:w="992" w:type="dxa"/>
            <w:shd w:val="clear" w:color="auto" w:fill="auto"/>
          </w:tcPr>
          <w:p w:rsidR="00CE6D05" w:rsidRPr="00046C85" w:rsidRDefault="00CE6D05" w:rsidP="00B81B98">
            <w:pPr>
              <w:pStyle w:val="Tabletext"/>
              <w:tabs>
                <w:tab w:val="decimal" w:pos="284"/>
              </w:tabs>
              <w:rPr>
                <w:rFonts w:eastAsia="Calibri"/>
              </w:rPr>
            </w:pPr>
            <w:r>
              <w:rPr>
                <w:rFonts w:eastAsia="Calibri"/>
              </w:rPr>
              <w:t>-0.64</w:t>
            </w:r>
            <w:r w:rsidRPr="00046C85">
              <w:rPr>
                <w:rFonts w:eastAsia="Calibri"/>
              </w:rPr>
              <w:t>**</w:t>
            </w:r>
            <w:r w:rsidR="00DE6371">
              <w:rPr>
                <w:rFonts w:eastAsia="Calibri"/>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0.08</w:t>
            </w:r>
          </w:p>
        </w:tc>
        <w:tc>
          <w:tcPr>
            <w:tcW w:w="992" w:type="dxa"/>
          </w:tcPr>
          <w:p w:rsidR="00CE6D05" w:rsidRPr="00046C85" w:rsidRDefault="00CE6D05" w:rsidP="00B81B98">
            <w:pPr>
              <w:pStyle w:val="Tabletext"/>
              <w:tabs>
                <w:tab w:val="decimal" w:pos="369"/>
              </w:tabs>
              <w:rPr>
                <w:rFonts w:eastAsia="Calibri"/>
              </w:rPr>
            </w:pPr>
            <w:r>
              <w:rPr>
                <w:rFonts w:eastAsia="Calibri"/>
              </w:rPr>
              <w:t>0.53</w:t>
            </w:r>
          </w:p>
        </w:tc>
        <w:tc>
          <w:tcPr>
            <w:tcW w:w="993" w:type="dxa"/>
            <w:shd w:val="clear" w:color="auto" w:fill="auto"/>
          </w:tcPr>
          <w:p w:rsidR="00CE6D05" w:rsidRPr="00046C85" w:rsidRDefault="00CE6D05" w:rsidP="00B81B98">
            <w:pPr>
              <w:pStyle w:val="Tabletext"/>
              <w:tabs>
                <w:tab w:val="decimal" w:pos="284"/>
              </w:tabs>
              <w:rPr>
                <w:rFonts w:eastAsia="Calibri"/>
              </w:rPr>
            </w:pPr>
            <w:r>
              <w:rPr>
                <w:rFonts w:eastAsia="Calibri"/>
              </w:rPr>
              <w:t>&lt;.00</w:t>
            </w:r>
            <w:r w:rsidRPr="00046C85">
              <w:rPr>
                <w:rFonts w:eastAsia="Calibri"/>
              </w:rPr>
              <w:t>1</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p>
        </w:tc>
        <w:tc>
          <w:tcPr>
            <w:tcW w:w="2244" w:type="dxa"/>
            <w:shd w:val="clear" w:color="auto" w:fill="auto"/>
          </w:tcPr>
          <w:p w:rsidR="00CE6D05" w:rsidRPr="00046C85" w:rsidRDefault="00CE6D05" w:rsidP="00F14466">
            <w:pPr>
              <w:pStyle w:val="Tabletext"/>
              <w:rPr>
                <w:rFonts w:eastAsia="Calibri"/>
              </w:rPr>
            </w:pPr>
            <w:r w:rsidRPr="00046C85">
              <w:rPr>
                <w:rFonts w:eastAsia="Calibri"/>
              </w:rPr>
              <w:t>Female [R]</w:t>
            </w:r>
            <w:r w:rsidR="00707B5C">
              <w:rPr>
                <w:rFonts w:eastAsia="Calibri"/>
                <w:vertAlign w:val="superscript"/>
              </w:rPr>
              <w:t>3</w:t>
            </w:r>
          </w:p>
        </w:tc>
        <w:tc>
          <w:tcPr>
            <w:tcW w:w="992" w:type="dxa"/>
            <w:shd w:val="clear" w:color="auto" w:fill="auto"/>
          </w:tcPr>
          <w:p w:rsidR="00CE6D05" w:rsidRPr="00046C85" w:rsidRDefault="00CE6D05" w:rsidP="00B81B98">
            <w:pPr>
              <w:pStyle w:val="Tabletext"/>
              <w:tabs>
                <w:tab w:val="decimal" w:pos="284"/>
              </w:tabs>
              <w:rPr>
                <w:rFonts w:eastAsia="Calibri"/>
              </w:rPr>
            </w:pPr>
          </w:p>
        </w:tc>
        <w:tc>
          <w:tcPr>
            <w:tcW w:w="993" w:type="dxa"/>
            <w:shd w:val="clear" w:color="auto" w:fill="auto"/>
          </w:tcPr>
          <w:p w:rsidR="00CE6D05" w:rsidRPr="00046C85" w:rsidRDefault="00CE6D05" w:rsidP="00B81B98">
            <w:pPr>
              <w:pStyle w:val="Tabletext"/>
              <w:tabs>
                <w:tab w:val="decimal" w:pos="369"/>
              </w:tabs>
              <w:rPr>
                <w:rFonts w:eastAsia="Calibri"/>
              </w:rPr>
            </w:pPr>
          </w:p>
        </w:tc>
        <w:tc>
          <w:tcPr>
            <w:tcW w:w="992" w:type="dxa"/>
          </w:tcPr>
          <w:p w:rsidR="00CE6D05" w:rsidRPr="00046C85" w:rsidRDefault="00CE6D05" w:rsidP="00B81B98">
            <w:pPr>
              <w:pStyle w:val="Tabletext"/>
              <w:tabs>
                <w:tab w:val="decimal" w:pos="369"/>
              </w:tabs>
              <w:rPr>
                <w:rFonts w:eastAsia="Calibri"/>
              </w:rPr>
            </w:pPr>
          </w:p>
        </w:tc>
        <w:tc>
          <w:tcPr>
            <w:tcW w:w="993" w:type="dxa"/>
            <w:shd w:val="clear" w:color="auto" w:fill="auto"/>
          </w:tcPr>
          <w:p w:rsidR="00CE6D05" w:rsidRPr="00046C85" w:rsidRDefault="00CE6D05" w:rsidP="00B81B98">
            <w:pPr>
              <w:pStyle w:val="Tabletext"/>
              <w:tabs>
                <w:tab w:val="decimal" w:pos="284"/>
              </w:tabs>
              <w:rPr>
                <w:rFonts w:eastAsia="Calibri"/>
              </w:rPr>
            </w:pPr>
          </w:p>
        </w:tc>
      </w:tr>
      <w:tr w:rsidR="00CE6D05" w:rsidRPr="008C7CA3" w:rsidTr="00B81B98">
        <w:tc>
          <w:tcPr>
            <w:tcW w:w="2575" w:type="dxa"/>
            <w:shd w:val="clear" w:color="auto" w:fill="auto"/>
          </w:tcPr>
          <w:p w:rsidR="00CE6D05" w:rsidRPr="00046C85" w:rsidRDefault="00CE6D05" w:rsidP="00F14466">
            <w:pPr>
              <w:pStyle w:val="Tabletext"/>
              <w:rPr>
                <w:rFonts w:eastAsia="Calibri"/>
              </w:rPr>
            </w:pPr>
            <w:r w:rsidRPr="00046C85">
              <w:rPr>
                <w:rFonts w:eastAsia="Calibri"/>
              </w:rPr>
              <w:t>Indigenous status</w:t>
            </w:r>
          </w:p>
        </w:tc>
        <w:tc>
          <w:tcPr>
            <w:tcW w:w="2244" w:type="dxa"/>
            <w:shd w:val="clear" w:color="auto" w:fill="auto"/>
          </w:tcPr>
          <w:p w:rsidR="00CE6D05" w:rsidRPr="00046C85" w:rsidRDefault="00CE6D05" w:rsidP="00F14466">
            <w:pPr>
              <w:pStyle w:val="Tabletext"/>
              <w:rPr>
                <w:rFonts w:eastAsia="Calibri"/>
              </w:rPr>
            </w:pPr>
            <w:r w:rsidRPr="00046C85">
              <w:rPr>
                <w:rFonts w:eastAsia="Calibri"/>
              </w:rPr>
              <w:t>Indigenous</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w:t>
            </w:r>
            <w:r>
              <w:rPr>
                <w:rFonts w:eastAsia="Calibri"/>
              </w:rPr>
              <w:t>64</w:t>
            </w:r>
            <w:r w:rsidRPr="00046C85">
              <w:rPr>
                <w:rFonts w:eastAsia="Calibri"/>
              </w:rPr>
              <w:t>*</w:t>
            </w:r>
            <w:r w:rsidRPr="00046C85">
              <w:rPr>
                <w:rFonts w:eastAsia="Calibri"/>
                <w:color w:val="FFFFFF" w:themeColor="background1"/>
              </w:rPr>
              <w:t>*</w:t>
            </w:r>
            <w:r w:rsidR="00FE3233" w:rsidRPr="00046C85">
              <w:rPr>
                <w:rFonts w:eastAsia="Calibri"/>
                <w:color w:val="FFFFFF" w:themeColor="background1"/>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0.2</w:t>
            </w:r>
            <w:r>
              <w:rPr>
                <w:rFonts w:eastAsia="Calibri"/>
              </w:rPr>
              <w:t>7</w:t>
            </w:r>
          </w:p>
        </w:tc>
        <w:tc>
          <w:tcPr>
            <w:tcW w:w="992" w:type="dxa"/>
          </w:tcPr>
          <w:p w:rsidR="00CE6D05" w:rsidRPr="00046C85" w:rsidRDefault="00CE6D05" w:rsidP="00B81B98">
            <w:pPr>
              <w:pStyle w:val="Tabletext"/>
              <w:tabs>
                <w:tab w:val="decimal" w:pos="369"/>
              </w:tabs>
              <w:rPr>
                <w:rFonts w:eastAsia="Calibri"/>
              </w:rPr>
            </w:pPr>
            <w:r>
              <w:rPr>
                <w:rFonts w:eastAsia="Calibri"/>
              </w:rPr>
              <w:t>1.89</w:t>
            </w:r>
          </w:p>
        </w:tc>
        <w:tc>
          <w:tcPr>
            <w:tcW w:w="993"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0.02</w:t>
            </w:r>
            <w:r>
              <w:rPr>
                <w:rFonts w:eastAsia="Calibri"/>
              </w:rPr>
              <w:t>0</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p>
        </w:tc>
        <w:tc>
          <w:tcPr>
            <w:tcW w:w="2244" w:type="dxa"/>
            <w:shd w:val="clear" w:color="auto" w:fill="auto"/>
          </w:tcPr>
          <w:p w:rsidR="00CE6D05" w:rsidRPr="00046C85" w:rsidRDefault="00CE6D05" w:rsidP="00F14466">
            <w:pPr>
              <w:pStyle w:val="Tabletext"/>
              <w:rPr>
                <w:rFonts w:eastAsia="Calibri"/>
              </w:rPr>
            </w:pPr>
            <w:r w:rsidRPr="00046C85">
              <w:rPr>
                <w:rFonts w:eastAsia="Calibri"/>
              </w:rPr>
              <w:t>Non-Indigenous [R]</w:t>
            </w:r>
          </w:p>
        </w:tc>
        <w:tc>
          <w:tcPr>
            <w:tcW w:w="992" w:type="dxa"/>
            <w:shd w:val="clear" w:color="auto" w:fill="auto"/>
          </w:tcPr>
          <w:p w:rsidR="00CE6D05" w:rsidRPr="00046C85" w:rsidRDefault="00CE6D05" w:rsidP="00B81B98">
            <w:pPr>
              <w:pStyle w:val="Tabletext"/>
              <w:tabs>
                <w:tab w:val="decimal" w:pos="284"/>
              </w:tabs>
              <w:rPr>
                <w:rFonts w:eastAsia="Calibri"/>
              </w:rPr>
            </w:pPr>
          </w:p>
        </w:tc>
        <w:tc>
          <w:tcPr>
            <w:tcW w:w="993" w:type="dxa"/>
            <w:shd w:val="clear" w:color="auto" w:fill="auto"/>
          </w:tcPr>
          <w:p w:rsidR="00CE6D05" w:rsidRPr="00046C85" w:rsidRDefault="00CE6D05" w:rsidP="00B81B98">
            <w:pPr>
              <w:pStyle w:val="Tabletext"/>
              <w:tabs>
                <w:tab w:val="decimal" w:pos="369"/>
              </w:tabs>
              <w:rPr>
                <w:rFonts w:eastAsia="Calibri"/>
              </w:rPr>
            </w:pPr>
          </w:p>
        </w:tc>
        <w:tc>
          <w:tcPr>
            <w:tcW w:w="992" w:type="dxa"/>
          </w:tcPr>
          <w:p w:rsidR="00CE6D05" w:rsidRPr="00046C85" w:rsidRDefault="00CE6D05" w:rsidP="00B81B98">
            <w:pPr>
              <w:pStyle w:val="Tabletext"/>
              <w:tabs>
                <w:tab w:val="decimal" w:pos="369"/>
              </w:tabs>
              <w:rPr>
                <w:rFonts w:eastAsia="Calibri"/>
              </w:rPr>
            </w:pPr>
          </w:p>
        </w:tc>
        <w:tc>
          <w:tcPr>
            <w:tcW w:w="993" w:type="dxa"/>
            <w:shd w:val="clear" w:color="auto" w:fill="auto"/>
          </w:tcPr>
          <w:p w:rsidR="00CE6D05" w:rsidRPr="00046C85" w:rsidRDefault="00CE6D05" w:rsidP="00B81B98">
            <w:pPr>
              <w:pStyle w:val="Tabletext"/>
              <w:tabs>
                <w:tab w:val="decimal" w:pos="284"/>
              </w:tabs>
              <w:rPr>
                <w:rFonts w:eastAsia="Calibri"/>
              </w:rPr>
            </w:pPr>
          </w:p>
        </w:tc>
      </w:tr>
      <w:tr w:rsidR="00CE6D05" w:rsidRPr="001008C8" w:rsidTr="00B81B98">
        <w:tc>
          <w:tcPr>
            <w:tcW w:w="2575" w:type="dxa"/>
            <w:shd w:val="clear" w:color="auto" w:fill="auto"/>
          </w:tcPr>
          <w:p w:rsidR="00CE6D05" w:rsidRPr="00046C85" w:rsidRDefault="00CE6D05" w:rsidP="00F14466">
            <w:pPr>
              <w:pStyle w:val="Tabletext"/>
              <w:rPr>
                <w:rFonts w:eastAsia="Calibri"/>
              </w:rPr>
            </w:pPr>
            <w:r w:rsidRPr="00046C85">
              <w:rPr>
                <w:rFonts w:eastAsia="Calibri"/>
              </w:rPr>
              <w:t>Location</w:t>
            </w:r>
          </w:p>
        </w:tc>
        <w:tc>
          <w:tcPr>
            <w:tcW w:w="2244" w:type="dxa"/>
            <w:shd w:val="clear" w:color="auto" w:fill="auto"/>
          </w:tcPr>
          <w:p w:rsidR="00CE6D05" w:rsidRPr="00046C85" w:rsidRDefault="00FB5195" w:rsidP="00F14466">
            <w:pPr>
              <w:pStyle w:val="Tabletext"/>
              <w:rPr>
                <w:rFonts w:eastAsia="Calibri"/>
              </w:rPr>
            </w:pPr>
            <w:r>
              <w:rPr>
                <w:rFonts w:eastAsia="Calibri"/>
              </w:rPr>
              <w:t>Regional/r</w:t>
            </w:r>
            <w:r w:rsidR="00CE6D05" w:rsidRPr="00046C85">
              <w:rPr>
                <w:rFonts w:eastAsia="Calibri"/>
              </w:rPr>
              <w:t>emote</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-0.1</w:t>
            </w:r>
            <w:r>
              <w:rPr>
                <w:rFonts w:eastAsia="Calibri"/>
              </w:rPr>
              <w:t>2</w:t>
            </w:r>
            <w:r w:rsidRPr="00CC65C8">
              <w:rPr>
                <w:rFonts w:eastAsia="Calibri"/>
                <w:color w:val="FFFFFF" w:themeColor="background1"/>
              </w:rPr>
              <w:t>*</w:t>
            </w:r>
            <w:r w:rsidRPr="00046C85">
              <w:rPr>
                <w:rFonts w:eastAsia="Calibri"/>
                <w:color w:val="FFFFFF" w:themeColor="background1"/>
              </w:rPr>
              <w:t>*</w:t>
            </w:r>
            <w:r w:rsidR="00FE3233" w:rsidRPr="00046C85">
              <w:rPr>
                <w:rFonts w:eastAsia="Calibri"/>
                <w:color w:val="FFFFFF" w:themeColor="background1"/>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0.0</w:t>
            </w:r>
            <w:r w:rsidR="006C360A">
              <w:rPr>
                <w:rFonts w:eastAsia="Calibri"/>
              </w:rPr>
              <w:t>9</w:t>
            </w:r>
          </w:p>
        </w:tc>
        <w:tc>
          <w:tcPr>
            <w:tcW w:w="992" w:type="dxa"/>
          </w:tcPr>
          <w:p w:rsidR="00CE6D05" w:rsidRPr="00046C85" w:rsidRDefault="00CE6D05" w:rsidP="00B81B98">
            <w:pPr>
              <w:pStyle w:val="Tabletext"/>
              <w:tabs>
                <w:tab w:val="decimal" w:pos="369"/>
              </w:tabs>
              <w:rPr>
                <w:rFonts w:eastAsia="Calibri"/>
              </w:rPr>
            </w:pPr>
            <w:r>
              <w:rPr>
                <w:rFonts w:eastAsia="Calibri"/>
              </w:rPr>
              <w:t>0.89</w:t>
            </w:r>
          </w:p>
        </w:tc>
        <w:tc>
          <w:tcPr>
            <w:tcW w:w="993"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w:t>
            </w:r>
            <w:r>
              <w:rPr>
                <w:rFonts w:eastAsia="Calibri"/>
              </w:rPr>
              <w:t>177</w:t>
            </w:r>
          </w:p>
        </w:tc>
      </w:tr>
      <w:tr w:rsidR="00CE6D05" w:rsidRPr="001008C8" w:rsidTr="00B81B98">
        <w:tc>
          <w:tcPr>
            <w:tcW w:w="2575" w:type="dxa"/>
            <w:shd w:val="clear" w:color="auto" w:fill="auto"/>
          </w:tcPr>
          <w:p w:rsidR="00CE6D05" w:rsidRPr="00046C85" w:rsidRDefault="00CE6D05" w:rsidP="00F14466">
            <w:pPr>
              <w:pStyle w:val="Tabletext"/>
              <w:rPr>
                <w:rFonts w:eastAsia="Calibri"/>
              </w:rPr>
            </w:pPr>
          </w:p>
        </w:tc>
        <w:tc>
          <w:tcPr>
            <w:tcW w:w="2244" w:type="dxa"/>
            <w:shd w:val="clear" w:color="auto" w:fill="auto"/>
          </w:tcPr>
          <w:p w:rsidR="00CE6D05" w:rsidRPr="00046C85" w:rsidRDefault="00CE6D05" w:rsidP="00F14466">
            <w:pPr>
              <w:pStyle w:val="Tabletext"/>
              <w:rPr>
                <w:rFonts w:eastAsia="Calibri"/>
              </w:rPr>
            </w:pPr>
            <w:r w:rsidRPr="00046C85">
              <w:rPr>
                <w:rFonts w:eastAsia="Calibri"/>
              </w:rPr>
              <w:t>Metropolitan [R]</w:t>
            </w:r>
          </w:p>
        </w:tc>
        <w:tc>
          <w:tcPr>
            <w:tcW w:w="992" w:type="dxa"/>
            <w:shd w:val="clear" w:color="auto" w:fill="auto"/>
          </w:tcPr>
          <w:p w:rsidR="00CE6D05" w:rsidRPr="00046C85" w:rsidRDefault="00CE6D05" w:rsidP="00B81B98">
            <w:pPr>
              <w:pStyle w:val="Tabletext"/>
              <w:tabs>
                <w:tab w:val="decimal" w:pos="284"/>
              </w:tabs>
              <w:rPr>
                <w:rFonts w:eastAsia="Calibri"/>
              </w:rPr>
            </w:pPr>
          </w:p>
        </w:tc>
        <w:tc>
          <w:tcPr>
            <w:tcW w:w="993" w:type="dxa"/>
            <w:shd w:val="clear" w:color="auto" w:fill="auto"/>
          </w:tcPr>
          <w:p w:rsidR="00CE6D05" w:rsidRPr="00046C85" w:rsidRDefault="00CE6D05" w:rsidP="00B81B98">
            <w:pPr>
              <w:pStyle w:val="Tabletext"/>
              <w:tabs>
                <w:tab w:val="decimal" w:pos="369"/>
              </w:tabs>
              <w:rPr>
                <w:rFonts w:eastAsia="Calibri"/>
              </w:rPr>
            </w:pPr>
          </w:p>
        </w:tc>
        <w:tc>
          <w:tcPr>
            <w:tcW w:w="992" w:type="dxa"/>
          </w:tcPr>
          <w:p w:rsidR="00CE6D05" w:rsidRPr="00046C85" w:rsidRDefault="00CE6D05" w:rsidP="00B81B98">
            <w:pPr>
              <w:pStyle w:val="Tabletext"/>
              <w:tabs>
                <w:tab w:val="decimal" w:pos="369"/>
              </w:tabs>
              <w:rPr>
                <w:rFonts w:eastAsia="Calibri"/>
              </w:rPr>
            </w:pPr>
          </w:p>
        </w:tc>
        <w:tc>
          <w:tcPr>
            <w:tcW w:w="993" w:type="dxa"/>
            <w:shd w:val="clear" w:color="auto" w:fill="auto"/>
          </w:tcPr>
          <w:p w:rsidR="00CE6D05" w:rsidRPr="00046C85" w:rsidRDefault="00CE6D05" w:rsidP="00B81B98">
            <w:pPr>
              <w:pStyle w:val="Tabletext"/>
              <w:tabs>
                <w:tab w:val="decimal" w:pos="284"/>
              </w:tabs>
              <w:rPr>
                <w:rFonts w:eastAsia="Calibri"/>
              </w:rPr>
            </w:pPr>
          </w:p>
        </w:tc>
      </w:tr>
      <w:tr w:rsidR="00CE6D05" w:rsidRPr="008C7CA3" w:rsidTr="00B81B98">
        <w:tc>
          <w:tcPr>
            <w:tcW w:w="2575" w:type="dxa"/>
            <w:shd w:val="clear" w:color="auto" w:fill="auto"/>
          </w:tcPr>
          <w:p w:rsidR="00CE6D05" w:rsidRPr="00046C85" w:rsidRDefault="00CE6D05" w:rsidP="00F14466">
            <w:pPr>
              <w:pStyle w:val="Tabletext"/>
              <w:rPr>
                <w:rFonts w:eastAsia="Calibri"/>
              </w:rPr>
            </w:pPr>
            <w:r w:rsidRPr="00046C85">
              <w:rPr>
                <w:rFonts w:eastAsia="Calibri"/>
              </w:rPr>
              <w:t>Family structure</w:t>
            </w:r>
          </w:p>
        </w:tc>
        <w:tc>
          <w:tcPr>
            <w:tcW w:w="2244" w:type="dxa"/>
            <w:shd w:val="clear" w:color="auto" w:fill="auto"/>
          </w:tcPr>
          <w:p w:rsidR="00CE6D05" w:rsidRPr="00046C85" w:rsidRDefault="00CE6D05" w:rsidP="00F14466">
            <w:pPr>
              <w:pStyle w:val="Tabletext"/>
              <w:rPr>
                <w:rFonts w:eastAsia="Calibri"/>
              </w:rPr>
            </w:pPr>
            <w:r w:rsidRPr="00046C85">
              <w:rPr>
                <w:rFonts w:eastAsia="Calibri"/>
              </w:rPr>
              <w:t>Non-nuclear family</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-0.14</w:t>
            </w:r>
            <w:r w:rsidRPr="00046C85">
              <w:rPr>
                <w:rFonts w:eastAsia="Calibri"/>
                <w:color w:val="FFFFFF" w:themeColor="background1"/>
              </w:rPr>
              <w:t>**</w:t>
            </w:r>
            <w:r w:rsidR="00FE3233" w:rsidRPr="00046C85">
              <w:rPr>
                <w:rFonts w:eastAsia="Calibri"/>
                <w:color w:val="FFFFFF" w:themeColor="background1"/>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w:t>
            </w:r>
            <w:r w:rsidR="006C360A">
              <w:rPr>
                <w:rFonts w:eastAsia="Calibri"/>
              </w:rPr>
              <w:t>10</w:t>
            </w:r>
          </w:p>
        </w:tc>
        <w:tc>
          <w:tcPr>
            <w:tcW w:w="992" w:type="dxa"/>
          </w:tcPr>
          <w:p w:rsidR="00CE6D05" w:rsidRPr="00046C85" w:rsidRDefault="00CE6D05" w:rsidP="00B81B98">
            <w:pPr>
              <w:pStyle w:val="Tabletext"/>
              <w:tabs>
                <w:tab w:val="decimal" w:pos="369"/>
              </w:tabs>
              <w:rPr>
                <w:rFonts w:eastAsia="Calibri"/>
              </w:rPr>
            </w:pPr>
            <w:r>
              <w:rPr>
                <w:rFonts w:eastAsia="Calibri"/>
              </w:rPr>
              <w:t>0.87</w:t>
            </w:r>
          </w:p>
        </w:tc>
        <w:tc>
          <w:tcPr>
            <w:tcW w:w="993"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0.1</w:t>
            </w:r>
            <w:r>
              <w:rPr>
                <w:rFonts w:eastAsia="Calibri"/>
              </w:rPr>
              <w:t>73</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p>
        </w:tc>
        <w:tc>
          <w:tcPr>
            <w:tcW w:w="2244" w:type="dxa"/>
            <w:shd w:val="clear" w:color="auto" w:fill="auto"/>
          </w:tcPr>
          <w:p w:rsidR="00CE6D05" w:rsidRPr="00046C85" w:rsidRDefault="00CE6D05" w:rsidP="00F14466">
            <w:pPr>
              <w:pStyle w:val="Tabletext"/>
              <w:rPr>
                <w:rFonts w:eastAsia="Calibri"/>
              </w:rPr>
            </w:pPr>
            <w:r w:rsidRPr="00046C85">
              <w:rPr>
                <w:rFonts w:eastAsia="Calibri"/>
              </w:rPr>
              <w:t>Nuclear family [R]</w:t>
            </w:r>
          </w:p>
        </w:tc>
        <w:tc>
          <w:tcPr>
            <w:tcW w:w="992" w:type="dxa"/>
            <w:shd w:val="clear" w:color="auto" w:fill="auto"/>
          </w:tcPr>
          <w:p w:rsidR="00CE6D05" w:rsidRPr="00046C85" w:rsidRDefault="00CE6D05" w:rsidP="00B81B98">
            <w:pPr>
              <w:pStyle w:val="Tabletext"/>
              <w:tabs>
                <w:tab w:val="decimal" w:pos="284"/>
              </w:tabs>
              <w:rPr>
                <w:rFonts w:eastAsia="Calibri"/>
              </w:rPr>
            </w:pPr>
          </w:p>
        </w:tc>
        <w:tc>
          <w:tcPr>
            <w:tcW w:w="993" w:type="dxa"/>
            <w:shd w:val="clear" w:color="auto" w:fill="auto"/>
          </w:tcPr>
          <w:p w:rsidR="00CE6D05" w:rsidRPr="00046C85" w:rsidRDefault="00CE6D05" w:rsidP="00B81B98">
            <w:pPr>
              <w:pStyle w:val="Tabletext"/>
              <w:tabs>
                <w:tab w:val="decimal" w:pos="369"/>
              </w:tabs>
              <w:rPr>
                <w:rFonts w:eastAsia="Calibri"/>
              </w:rPr>
            </w:pPr>
          </w:p>
        </w:tc>
        <w:tc>
          <w:tcPr>
            <w:tcW w:w="992" w:type="dxa"/>
          </w:tcPr>
          <w:p w:rsidR="00CE6D05" w:rsidRPr="00046C85" w:rsidRDefault="00CE6D05" w:rsidP="00B81B98">
            <w:pPr>
              <w:pStyle w:val="Tabletext"/>
              <w:tabs>
                <w:tab w:val="decimal" w:pos="369"/>
              </w:tabs>
              <w:rPr>
                <w:rFonts w:eastAsia="Calibri"/>
              </w:rPr>
            </w:pPr>
          </w:p>
        </w:tc>
        <w:tc>
          <w:tcPr>
            <w:tcW w:w="993" w:type="dxa"/>
            <w:shd w:val="clear" w:color="auto" w:fill="auto"/>
          </w:tcPr>
          <w:p w:rsidR="00CE6D05" w:rsidRPr="00046C85" w:rsidRDefault="00CE6D05" w:rsidP="00B81B98">
            <w:pPr>
              <w:pStyle w:val="Tabletext"/>
              <w:tabs>
                <w:tab w:val="decimal" w:pos="284"/>
              </w:tabs>
              <w:rPr>
                <w:rFonts w:eastAsia="Calibri"/>
              </w:rPr>
            </w:pPr>
          </w:p>
        </w:tc>
      </w:tr>
      <w:tr w:rsidR="00CE6D05" w:rsidRPr="008C7CA3" w:rsidTr="00B81B98">
        <w:tc>
          <w:tcPr>
            <w:tcW w:w="2575" w:type="dxa"/>
            <w:shd w:val="clear" w:color="auto" w:fill="auto"/>
          </w:tcPr>
          <w:p w:rsidR="00CE6D05" w:rsidRPr="00046C85" w:rsidRDefault="00CE6D05" w:rsidP="00F14466">
            <w:pPr>
              <w:pStyle w:val="Tabletext"/>
              <w:rPr>
                <w:rFonts w:eastAsia="Calibri"/>
              </w:rPr>
            </w:pPr>
            <w:r w:rsidRPr="00046C85">
              <w:rPr>
                <w:rFonts w:eastAsia="Calibri"/>
              </w:rPr>
              <w:t>Immigration background</w:t>
            </w:r>
          </w:p>
        </w:tc>
        <w:tc>
          <w:tcPr>
            <w:tcW w:w="2244" w:type="dxa"/>
            <w:shd w:val="clear" w:color="auto" w:fill="auto"/>
          </w:tcPr>
          <w:p w:rsidR="00CE6D05" w:rsidRPr="00046C85" w:rsidRDefault="00CE6D05" w:rsidP="00F14466">
            <w:pPr>
              <w:pStyle w:val="Tabletext"/>
              <w:rPr>
                <w:rFonts w:eastAsia="Calibri"/>
              </w:rPr>
            </w:pPr>
            <w:r w:rsidRPr="00046C85">
              <w:rPr>
                <w:rFonts w:eastAsia="Calibri"/>
              </w:rPr>
              <w:t>First-generation students</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w:t>
            </w:r>
            <w:r>
              <w:rPr>
                <w:rFonts w:eastAsia="Calibri"/>
              </w:rPr>
              <w:t>29</w:t>
            </w:r>
            <w:r w:rsidRPr="00046C85">
              <w:rPr>
                <w:rFonts w:eastAsia="Calibri"/>
              </w:rPr>
              <w:t>**</w:t>
            </w:r>
            <w:r w:rsidR="00FE3233" w:rsidRPr="00046C85">
              <w:rPr>
                <w:rFonts w:eastAsia="Calibri"/>
                <w:color w:val="FFFFFF" w:themeColor="background1"/>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w:t>
            </w:r>
            <w:r>
              <w:rPr>
                <w:rFonts w:eastAsia="Calibri"/>
              </w:rPr>
              <w:t>10</w:t>
            </w:r>
          </w:p>
        </w:tc>
        <w:tc>
          <w:tcPr>
            <w:tcW w:w="992" w:type="dxa"/>
          </w:tcPr>
          <w:p w:rsidR="00CE6D05" w:rsidRPr="00046C85" w:rsidRDefault="00CE6D05" w:rsidP="00B81B98">
            <w:pPr>
              <w:pStyle w:val="Tabletext"/>
              <w:tabs>
                <w:tab w:val="decimal" w:pos="369"/>
              </w:tabs>
              <w:rPr>
                <w:rFonts w:eastAsia="Calibri"/>
              </w:rPr>
            </w:pPr>
            <w:r>
              <w:rPr>
                <w:rFonts w:eastAsia="Calibri"/>
              </w:rPr>
              <w:t>1.33</w:t>
            </w:r>
          </w:p>
        </w:tc>
        <w:tc>
          <w:tcPr>
            <w:tcW w:w="993"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0.00</w:t>
            </w:r>
            <w:r>
              <w:rPr>
                <w:rFonts w:eastAsia="Calibri"/>
              </w:rPr>
              <w:t>3</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p>
        </w:tc>
        <w:tc>
          <w:tcPr>
            <w:tcW w:w="2244" w:type="dxa"/>
            <w:shd w:val="clear" w:color="auto" w:fill="auto"/>
          </w:tcPr>
          <w:p w:rsidR="00CE6D05" w:rsidRPr="00046C85" w:rsidRDefault="00CE6D05" w:rsidP="00F14466">
            <w:pPr>
              <w:pStyle w:val="Tabletext"/>
              <w:rPr>
                <w:rFonts w:eastAsia="Calibri"/>
              </w:rPr>
            </w:pPr>
            <w:r w:rsidRPr="00046C85">
              <w:rPr>
                <w:rFonts w:eastAsia="Calibri"/>
              </w:rPr>
              <w:t>Foreign-born students</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0.7</w:t>
            </w:r>
            <w:r>
              <w:rPr>
                <w:rFonts w:eastAsia="Calibri"/>
              </w:rPr>
              <w:t>0</w:t>
            </w:r>
            <w:r w:rsidRPr="00046C85">
              <w:rPr>
                <w:rFonts w:eastAsia="Calibri"/>
              </w:rPr>
              <w:t>**</w:t>
            </w:r>
            <w:r w:rsidR="00DE6371">
              <w:rPr>
                <w:rFonts w:eastAsia="Calibri"/>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0.17</w:t>
            </w:r>
          </w:p>
        </w:tc>
        <w:tc>
          <w:tcPr>
            <w:tcW w:w="992" w:type="dxa"/>
          </w:tcPr>
          <w:p w:rsidR="00CE6D05" w:rsidRPr="00046C85" w:rsidRDefault="00CE6D05" w:rsidP="00B81B98">
            <w:pPr>
              <w:pStyle w:val="Tabletext"/>
              <w:tabs>
                <w:tab w:val="decimal" w:pos="369"/>
              </w:tabs>
              <w:rPr>
                <w:rFonts w:eastAsia="Calibri"/>
              </w:rPr>
            </w:pPr>
            <w:r>
              <w:rPr>
                <w:rFonts w:eastAsia="Calibri"/>
              </w:rPr>
              <w:t>2.02</w:t>
            </w:r>
          </w:p>
        </w:tc>
        <w:tc>
          <w:tcPr>
            <w:tcW w:w="993" w:type="dxa"/>
            <w:shd w:val="clear" w:color="auto" w:fill="auto"/>
          </w:tcPr>
          <w:p w:rsidR="00CE6D05" w:rsidRPr="00046C85" w:rsidRDefault="00CE6D05" w:rsidP="00B81B98">
            <w:pPr>
              <w:pStyle w:val="Tabletext"/>
              <w:tabs>
                <w:tab w:val="decimal" w:pos="284"/>
              </w:tabs>
              <w:rPr>
                <w:rFonts w:eastAsia="Calibri"/>
              </w:rPr>
            </w:pPr>
            <w:r>
              <w:rPr>
                <w:rFonts w:eastAsia="Calibri"/>
              </w:rPr>
              <w:t>&lt;.00</w:t>
            </w:r>
            <w:r w:rsidRPr="00046C85">
              <w:rPr>
                <w:rFonts w:eastAsia="Calibri"/>
              </w:rPr>
              <w:t>1</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p>
        </w:tc>
        <w:tc>
          <w:tcPr>
            <w:tcW w:w="2244" w:type="dxa"/>
            <w:shd w:val="clear" w:color="auto" w:fill="auto"/>
          </w:tcPr>
          <w:p w:rsidR="00CE6D05" w:rsidRPr="00046C85" w:rsidRDefault="00CE6D05" w:rsidP="00F14466">
            <w:pPr>
              <w:pStyle w:val="Tabletext"/>
              <w:rPr>
                <w:rFonts w:eastAsia="Calibri"/>
              </w:rPr>
            </w:pPr>
            <w:r w:rsidRPr="00046C85">
              <w:rPr>
                <w:rFonts w:eastAsia="Calibri"/>
              </w:rPr>
              <w:t>Australian-born students [R]</w:t>
            </w:r>
          </w:p>
        </w:tc>
        <w:tc>
          <w:tcPr>
            <w:tcW w:w="992" w:type="dxa"/>
            <w:shd w:val="clear" w:color="auto" w:fill="auto"/>
          </w:tcPr>
          <w:p w:rsidR="00CE6D05" w:rsidRPr="00046C85" w:rsidRDefault="00CE6D05" w:rsidP="00B81B98">
            <w:pPr>
              <w:pStyle w:val="Tabletext"/>
              <w:tabs>
                <w:tab w:val="decimal" w:pos="284"/>
              </w:tabs>
              <w:rPr>
                <w:rFonts w:eastAsia="Calibri"/>
              </w:rPr>
            </w:pPr>
          </w:p>
        </w:tc>
        <w:tc>
          <w:tcPr>
            <w:tcW w:w="993" w:type="dxa"/>
            <w:shd w:val="clear" w:color="auto" w:fill="auto"/>
          </w:tcPr>
          <w:p w:rsidR="00CE6D05" w:rsidRPr="00046C85" w:rsidRDefault="00CE6D05" w:rsidP="00B81B98">
            <w:pPr>
              <w:pStyle w:val="Tabletext"/>
              <w:tabs>
                <w:tab w:val="decimal" w:pos="369"/>
              </w:tabs>
              <w:rPr>
                <w:rFonts w:eastAsia="Calibri"/>
              </w:rPr>
            </w:pPr>
          </w:p>
        </w:tc>
        <w:tc>
          <w:tcPr>
            <w:tcW w:w="992" w:type="dxa"/>
          </w:tcPr>
          <w:p w:rsidR="00CE6D05" w:rsidRPr="00046C85" w:rsidRDefault="00CE6D05" w:rsidP="00B81B98">
            <w:pPr>
              <w:pStyle w:val="Tabletext"/>
              <w:tabs>
                <w:tab w:val="decimal" w:pos="369"/>
              </w:tabs>
              <w:rPr>
                <w:rFonts w:eastAsia="Calibri"/>
              </w:rPr>
            </w:pPr>
          </w:p>
        </w:tc>
        <w:tc>
          <w:tcPr>
            <w:tcW w:w="993" w:type="dxa"/>
            <w:shd w:val="clear" w:color="auto" w:fill="auto"/>
          </w:tcPr>
          <w:p w:rsidR="00CE6D05" w:rsidRPr="00046C85" w:rsidRDefault="00CE6D05" w:rsidP="00B81B98">
            <w:pPr>
              <w:pStyle w:val="Tabletext"/>
              <w:tabs>
                <w:tab w:val="decimal" w:pos="284"/>
              </w:tabs>
              <w:rPr>
                <w:rFonts w:eastAsia="Calibri"/>
              </w:rPr>
            </w:pPr>
          </w:p>
        </w:tc>
      </w:tr>
      <w:tr w:rsidR="00CE6D05" w:rsidRPr="008C7CA3" w:rsidTr="00B81B98">
        <w:tc>
          <w:tcPr>
            <w:tcW w:w="2575" w:type="dxa"/>
            <w:shd w:val="clear" w:color="auto" w:fill="auto"/>
          </w:tcPr>
          <w:p w:rsidR="00CE6D05" w:rsidRPr="00046C85" w:rsidRDefault="00CE6D05" w:rsidP="00F14466">
            <w:pPr>
              <w:pStyle w:val="Tabletext"/>
              <w:rPr>
                <w:rFonts w:eastAsia="Calibri"/>
              </w:rPr>
            </w:pPr>
            <w:r w:rsidRPr="00046C85">
              <w:rPr>
                <w:rFonts w:eastAsia="Calibri"/>
              </w:rPr>
              <w:t>SES</w:t>
            </w:r>
          </w:p>
        </w:tc>
        <w:tc>
          <w:tcPr>
            <w:tcW w:w="2244" w:type="dxa"/>
            <w:shd w:val="clear" w:color="auto" w:fill="auto"/>
          </w:tcPr>
          <w:p w:rsidR="00CE6D05" w:rsidRPr="00046C85" w:rsidRDefault="006557AE" w:rsidP="00F14466">
            <w:pPr>
              <w:pStyle w:val="Tabletext"/>
              <w:rPr>
                <w:rFonts w:eastAsia="Calibri"/>
              </w:rPr>
            </w:pPr>
            <w:r>
              <w:rPr>
                <w:rFonts w:eastAsia="Calibri"/>
              </w:rPr>
              <w:t>C</w:t>
            </w:r>
            <w:r w:rsidR="00CE6D05">
              <w:rPr>
                <w:rFonts w:eastAsia="Calibri"/>
              </w:rPr>
              <w:t>ontinuous (std)</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w:t>
            </w:r>
            <w:r w:rsidR="0020668F">
              <w:rPr>
                <w:rFonts w:eastAsia="Calibri"/>
              </w:rPr>
              <w:t>19</w:t>
            </w:r>
            <w:r w:rsidRPr="00046C85">
              <w:rPr>
                <w:rFonts w:eastAsia="Calibri"/>
              </w:rPr>
              <w:t>**</w:t>
            </w:r>
            <w:r w:rsidR="00DE6371">
              <w:rPr>
                <w:rFonts w:eastAsia="Calibri"/>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0.0</w:t>
            </w:r>
            <w:r w:rsidR="0020668F">
              <w:rPr>
                <w:rFonts w:eastAsia="Calibri"/>
              </w:rPr>
              <w:t>5</w:t>
            </w:r>
          </w:p>
        </w:tc>
        <w:tc>
          <w:tcPr>
            <w:tcW w:w="992" w:type="dxa"/>
          </w:tcPr>
          <w:p w:rsidR="00CE6D05" w:rsidRPr="00046C85" w:rsidRDefault="002468D0" w:rsidP="00B81B98">
            <w:pPr>
              <w:pStyle w:val="Tabletext"/>
              <w:tabs>
                <w:tab w:val="decimal" w:pos="369"/>
              </w:tabs>
              <w:rPr>
                <w:rFonts w:eastAsia="Calibri"/>
              </w:rPr>
            </w:pPr>
            <w:r>
              <w:rPr>
                <w:rFonts w:eastAsia="Calibri"/>
              </w:rPr>
              <w:t>1.21</w:t>
            </w:r>
          </w:p>
        </w:tc>
        <w:tc>
          <w:tcPr>
            <w:tcW w:w="993" w:type="dxa"/>
            <w:shd w:val="clear" w:color="auto" w:fill="auto"/>
          </w:tcPr>
          <w:p w:rsidR="00CE6D05" w:rsidRPr="00046C85" w:rsidRDefault="00CE6D05" w:rsidP="00B81B98">
            <w:pPr>
              <w:pStyle w:val="Tabletext"/>
              <w:tabs>
                <w:tab w:val="decimal" w:pos="284"/>
              </w:tabs>
              <w:rPr>
                <w:rFonts w:eastAsia="Calibri"/>
              </w:rPr>
            </w:pPr>
            <w:r>
              <w:rPr>
                <w:rFonts w:eastAsia="Calibri"/>
              </w:rPr>
              <w:t>&lt;.0</w:t>
            </w:r>
            <w:r w:rsidRPr="00046C85">
              <w:rPr>
                <w:rFonts w:eastAsia="Calibri"/>
              </w:rPr>
              <w:t>01</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r w:rsidRPr="00046C85">
              <w:rPr>
                <w:rFonts w:eastAsia="Calibri"/>
              </w:rPr>
              <w:t>Attitudes to school</w:t>
            </w:r>
          </w:p>
        </w:tc>
        <w:tc>
          <w:tcPr>
            <w:tcW w:w="2244" w:type="dxa"/>
            <w:shd w:val="clear" w:color="auto" w:fill="auto"/>
          </w:tcPr>
          <w:p w:rsidR="00CE6D05" w:rsidRPr="00046C85" w:rsidRDefault="006557AE" w:rsidP="00F14466">
            <w:pPr>
              <w:pStyle w:val="Tabletext"/>
              <w:rPr>
                <w:rFonts w:eastAsia="Calibri"/>
              </w:rPr>
            </w:pPr>
            <w:r>
              <w:rPr>
                <w:rFonts w:eastAsia="Calibri"/>
              </w:rPr>
              <w:t>C</w:t>
            </w:r>
            <w:r w:rsidR="00CE6D05">
              <w:rPr>
                <w:rFonts w:eastAsia="Calibri"/>
              </w:rPr>
              <w:t>ontinuous (std)</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w:t>
            </w:r>
            <w:r w:rsidR="006C360A">
              <w:rPr>
                <w:rFonts w:eastAsia="Calibri"/>
              </w:rPr>
              <w:t>50</w:t>
            </w:r>
            <w:r w:rsidRPr="00046C85">
              <w:rPr>
                <w:rFonts w:eastAsia="Calibri"/>
              </w:rPr>
              <w:t>**</w:t>
            </w:r>
            <w:r w:rsidR="00DE6371">
              <w:rPr>
                <w:rFonts w:eastAsia="Calibri"/>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0.05</w:t>
            </w:r>
          </w:p>
        </w:tc>
        <w:tc>
          <w:tcPr>
            <w:tcW w:w="992" w:type="dxa"/>
          </w:tcPr>
          <w:p w:rsidR="00CE6D05" w:rsidRPr="00046C85" w:rsidRDefault="006C360A" w:rsidP="00B81B98">
            <w:pPr>
              <w:pStyle w:val="Tabletext"/>
              <w:tabs>
                <w:tab w:val="decimal" w:pos="369"/>
              </w:tabs>
              <w:rPr>
                <w:rFonts w:eastAsia="Calibri"/>
              </w:rPr>
            </w:pPr>
            <w:r>
              <w:rPr>
                <w:rFonts w:eastAsia="Calibri"/>
              </w:rPr>
              <w:t>1.65</w:t>
            </w:r>
          </w:p>
        </w:tc>
        <w:tc>
          <w:tcPr>
            <w:tcW w:w="993" w:type="dxa"/>
            <w:shd w:val="clear" w:color="auto" w:fill="auto"/>
          </w:tcPr>
          <w:p w:rsidR="00CE6D05" w:rsidRPr="00046C85" w:rsidRDefault="00CE6D05" w:rsidP="00B81B98">
            <w:pPr>
              <w:pStyle w:val="Tabletext"/>
              <w:tabs>
                <w:tab w:val="decimal" w:pos="284"/>
              </w:tabs>
              <w:rPr>
                <w:rFonts w:eastAsia="Calibri"/>
              </w:rPr>
            </w:pPr>
            <w:r>
              <w:rPr>
                <w:rFonts w:eastAsia="Calibri"/>
              </w:rPr>
              <w:t>&lt;.00</w:t>
            </w:r>
            <w:r w:rsidRPr="00046C85">
              <w:rPr>
                <w:rFonts w:eastAsia="Calibri"/>
              </w:rPr>
              <w:t>1</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r w:rsidRPr="00046C85">
              <w:rPr>
                <w:rFonts w:eastAsia="Calibri"/>
              </w:rPr>
              <w:t>Teacher quality</w:t>
            </w:r>
          </w:p>
        </w:tc>
        <w:tc>
          <w:tcPr>
            <w:tcW w:w="2244" w:type="dxa"/>
            <w:shd w:val="clear" w:color="auto" w:fill="auto"/>
          </w:tcPr>
          <w:p w:rsidR="00CE6D05" w:rsidRPr="00046C85" w:rsidRDefault="006557AE" w:rsidP="00F14466">
            <w:pPr>
              <w:pStyle w:val="Tabletext"/>
              <w:rPr>
                <w:rFonts w:eastAsia="Calibri"/>
              </w:rPr>
            </w:pPr>
            <w:r>
              <w:rPr>
                <w:rFonts w:eastAsia="Calibri"/>
              </w:rPr>
              <w:t>C</w:t>
            </w:r>
            <w:r w:rsidR="00CE6D05">
              <w:rPr>
                <w:rFonts w:eastAsia="Calibri"/>
              </w:rPr>
              <w:t>ontinuous (std)</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0.0</w:t>
            </w:r>
            <w:r>
              <w:rPr>
                <w:rFonts w:eastAsia="Calibri"/>
              </w:rPr>
              <w:t>3</w:t>
            </w:r>
            <w:r w:rsidRPr="00046C85">
              <w:rPr>
                <w:rFonts w:eastAsia="Calibri"/>
                <w:color w:val="FFFFFF" w:themeColor="background1"/>
              </w:rPr>
              <w:t>**</w:t>
            </w:r>
            <w:r w:rsidR="00FE3233" w:rsidRPr="00046C85">
              <w:rPr>
                <w:rFonts w:eastAsia="Calibri"/>
                <w:color w:val="FFFFFF" w:themeColor="background1"/>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0.04</w:t>
            </w:r>
          </w:p>
        </w:tc>
        <w:tc>
          <w:tcPr>
            <w:tcW w:w="992" w:type="dxa"/>
          </w:tcPr>
          <w:p w:rsidR="00CE6D05" w:rsidRPr="00046C85" w:rsidRDefault="00CE6D05" w:rsidP="00B81B98">
            <w:pPr>
              <w:pStyle w:val="Tabletext"/>
              <w:tabs>
                <w:tab w:val="decimal" w:pos="369"/>
              </w:tabs>
              <w:rPr>
                <w:rFonts w:eastAsia="Calibri"/>
              </w:rPr>
            </w:pPr>
            <w:r>
              <w:rPr>
                <w:rFonts w:eastAsia="Calibri"/>
              </w:rPr>
              <w:t>1.03</w:t>
            </w:r>
          </w:p>
        </w:tc>
        <w:tc>
          <w:tcPr>
            <w:tcW w:w="993"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0.5</w:t>
            </w:r>
            <w:r>
              <w:rPr>
                <w:rFonts w:eastAsia="Calibri"/>
              </w:rPr>
              <w:t>45</w:t>
            </w:r>
          </w:p>
        </w:tc>
      </w:tr>
      <w:tr w:rsidR="00CE6D05" w:rsidRPr="008C7CA3" w:rsidTr="00B81B98">
        <w:tc>
          <w:tcPr>
            <w:tcW w:w="2575" w:type="dxa"/>
            <w:shd w:val="clear" w:color="auto" w:fill="auto"/>
          </w:tcPr>
          <w:p w:rsidR="00CE6D05" w:rsidRPr="00046C85" w:rsidRDefault="00CE6D05" w:rsidP="00A721FC">
            <w:pPr>
              <w:pStyle w:val="Tabletext"/>
              <w:rPr>
                <w:rFonts w:eastAsia="Calibri"/>
              </w:rPr>
            </w:pPr>
            <w:r w:rsidRPr="00046C85">
              <w:rPr>
                <w:rFonts w:eastAsia="Calibri"/>
              </w:rPr>
              <w:t>Teacher</w:t>
            </w:r>
            <w:r w:rsidR="00A721FC">
              <w:rPr>
                <w:rFonts w:eastAsia="Calibri"/>
              </w:rPr>
              <w:t>–</w:t>
            </w:r>
            <w:r w:rsidRPr="00046C85">
              <w:rPr>
                <w:rFonts w:eastAsia="Calibri"/>
              </w:rPr>
              <w:t>student relations</w:t>
            </w:r>
          </w:p>
        </w:tc>
        <w:tc>
          <w:tcPr>
            <w:tcW w:w="2244" w:type="dxa"/>
            <w:shd w:val="clear" w:color="auto" w:fill="auto"/>
          </w:tcPr>
          <w:p w:rsidR="00CE6D05" w:rsidRPr="00046C85" w:rsidRDefault="006557AE" w:rsidP="00F14466">
            <w:pPr>
              <w:pStyle w:val="Tabletext"/>
              <w:rPr>
                <w:rFonts w:eastAsia="Calibri"/>
              </w:rPr>
            </w:pPr>
            <w:r>
              <w:rPr>
                <w:rFonts w:eastAsia="Calibri"/>
              </w:rPr>
              <w:t>C</w:t>
            </w:r>
            <w:r w:rsidR="00CE6D05">
              <w:rPr>
                <w:rFonts w:eastAsia="Calibri"/>
              </w:rPr>
              <w:t>ontinuous (std)</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0.2</w:t>
            </w:r>
            <w:r w:rsidR="006C360A">
              <w:rPr>
                <w:rFonts w:eastAsia="Calibri"/>
              </w:rPr>
              <w:t>1</w:t>
            </w:r>
            <w:r w:rsidRPr="00046C85">
              <w:rPr>
                <w:rFonts w:eastAsia="Calibri"/>
              </w:rPr>
              <w:t>**</w:t>
            </w:r>
            <w:r w:rsidR="00DE6371">
              <w:rPr>
                <w:rFonts w:eastAsia="Calibri"/>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0.05</w:t>
            </w:r>
          </w:p>
        </w:tc>
        <w:tc>
          <w:tcPr>
            <w:tcW w:w="992" w:type="dxa"/>
          </w:tcPr>
          <w:p w:rsidR="00CE6D05" w:rsidRPr="00046C85" w:rsidRDefault="00CE6D05" w:rsidP="00B81B98">
            <w:pPr>
              <w:pStyle w:val="Tabletext"/>
              <w:tabs>
                <w:tab w:val="decimal" w:pos="369"/>
              </w:tabs>
              <w:rPr>
                <w:rFonts w:eastAsia="Calibri"/>
              </w:rPr>
            </w:pPr>
            <w:r>
              <w:rPr>
                <w:rFonts w:eastAsia="Calibri"/>
              </w:rPr>
              <w:t>1.24</w:t>
            </w:r>
          </w:p>
        </w:tc>
        <w:tc>
          <w:tcPr>
            <w:tcW w:w="993" w:type="dxa"/>
            <w:shd w:val="clear" w:color="auto" w:fill="auto"/>
          </w:tcPr>
          <w:p w:rsidR="00CE6D05" w:rsidRPr="00046C85" w:rsidRDefault="00CE6D05" w:rsidP="00B81B98">
            <w:pPr>
              <w:pStyle w:val="Tabletext"/>
              <w:tabs>
                <w:tab w:val="decimal" w:pos="284"/>
              </w:tabs>
              <w:rPr>
                <w:rFonts w:eastAsia="Calibri"/>
              </w:rPr>
            </w:pPr>
            <w:r>
              <w:rPr>
                <w:rFonts w:eastAsia="Calibri"/>
              </w:rPr>
              <w:t>&lt;.0</w:t>
            </w:r>
            <w:r w:rsidRPr="00046C85">
              <w:rPr>
                <w:rFonts w:eastAsia="Calibri"/>
              </w:rPr>
              <w:t>01</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r w:rsidRPr="00046C85">
              <w:rPr>
                <w:rFonts w:eastAsia="Calibri"/>
              </w:rPr>
              <w:t>Disciplinary climate</w:t>
            </w:r>
          </w:p>
        </w:tc>
        <w:tc>
          <w:tcPr>
            <w:tcW w:w="2244" w:type="dxa"/>
            <w:shd w:val="clear" w:color="auto" w:fill="auto"/>
          </w:tcPr>
          <w:p w:rsidR="00CE6D05" w:rsidRPr="00046C85" w:rsidRDefault="006557AE" w:rsidP="00F14466">
            <w:pPr>
              <w:pStyle w:val="Tabletext"/>
              <w:rPr>
                <w:rFonts w:eastAsia="Calibri"/>
              </w:rPr>
            </w:pPr>
            <w:r>
              <w:rPr>
                <w:rFonts w:eastAsia="Calibri"/>
              </w:rPr>
              <w:t>C</w:t>
            </w:r>
            <w:r w:rsidR="00CE6D05">
              <w:rPr>
                <w:rFonts w:eastAsia="Calibri"/>
              </w:rPr>
              <w:t>ontinuous (std)</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0.06</w:t>
            </w:r>
            <w:r w:rsidRPr="00046C85">
              <w:rPr>
                <w:rFonts w:eastAsia="Calibri"/>
                <w:color w:val="FFFFFF" w:themeColor="background1"/>
              </w:rPr>
              <w:t>**</w:t>
            </w:r>
            <w:r w:rsidR="00FE3233" w:rsidRPr="00046C85">
              <w:rPr>
                <w:rFonts w:eastAsia="Calibri"/>
                <w:color w:val="FFFFFF" w:themeColor="background1"/>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0.04</w:t>
            </w:r>
          </w:p>
        </w:tc>
        <w:tc>
          <w:tcPr>
            <w:tcW w:w="992" w:type="dxa"/>
          </w:tcPr>
          <w:p w:rsidR="00CE6D05" w:rsidRPr="00046C85" w:rsidRDefault="00CE6D05" w:rsidP="00B81B98">
            <w:pPr>
              <w:pStyle w:val="Tabletext"/>
              <w:tabs>
                <w:tab w:val="decimal" w:pos="369"/>
              </w:tabs>
              <w:rPr>
                <w:rFonts w:eastAsia="Calibri"/>
              </w:rPr>
            </w:pPr>
            <w:r>
              <w:rPr>
                <w:rFonts w:eastAsia="Calibri"/>
              </w:rPr>
              <w:t>1.0</w:t>
            </w:r>
            <w:r w:rsidR="002468D0">
              <w:rPr>
                <w:rFonts w:eastAsia="Calibri"/>
              </w:rPr>
              <w:t>7</w:t>
            </w:r>
          </w:p>
        </w:tc>
        <w:tc>
          <w:tcPr>
            <w:tcW w:w="993"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w:t>
            </w:r>
            <w:r>
              <w:rPr>
                <w:rFonts w:eastAsia="Calibri"/>
              </w:rPr>
              <w:t>116</w:t>
            </w:r>
          </w:p>
        </w:tc>
      </w:tr>
      <w:tr w:rsidR="00CE6D05" w:rsidRPr="001008C8" w:rsidTr="00B81B98">
        <w:tc>
          <w:tcPr>
            <w:tcW w:w="2575" w:type="dxa"/>
            <w:shd w:val="clear" w:color="auto" w:fill="auto"/>
          </w:tcPr>
          <w:p w:rsidR="00CE6D05" w:rsidRPr="00707B5C" w:rsidRDefault="00CE6D05" w:rsidP="00F14466">
            <w:pPr>
              <w:pStyle w:val="Tabletext"/>
              <w:rPr>
                <w:rFonts w:eastAsia="Calibri"/>
                <w:vertAlign w:val="superscript"/>
              </w:rPr>
            </w:pPr>
            <w:r w:rsidRPr="009F66FE">
              <w:rPr>
                <w:rFonts w:eastAsia="Calibri"/>
              </w:rPr>
              <w:t xml:space="preserve">Academic </w:t>
            </w:r>
            <w:r w:rsidR="00277EAB">
              <w:rPr>
                <w:rFonts w:eastAsia="Calibri"/>
              </w:rPr>
              <w:t>performance</w:t>
            </w:r>
            <w:r w:rsidR="00707B5C" w:rsidRPr="00707B5C">
              <w:rPr>
                <w:rFonts w:eastAsia="Calibri"/>
                <w:vertAlign w:val="superscript"/>
              </w:rPr>
              <w:t>4</w:t>
            </w:r>
          </w:p>
        </w:tc>
        <w:tc>
          <w:tcPr>
            <w:tcW w:w="2244" w:type="dxa"/>
            <w:shd w:val="clear" w:color="auto" w:fill="auto"/>
          </w:tcPr>
          <w:p w:rsidR="00CE6D05" w:rsidRPr="009F66FE" w:rsidRDefault="006557AE" w:rsidP="00F14466">
            <w:pPr>
              <w:pStyle w:val="Tabletext"/>
              <w:rPr>
                <w:rFonts w:eastAsia="Calibri"/>
              </w:rPr>
            </w:pPr>
            <w:r>
              <w:rPr>
                <w:rFonts w:eastAsia="Calibri"/>
              </w:rPr>
              <w:t>C</w:t>
            </w:r>
            <w:r w:rsidR="00CE6D05">
              <w:rPr>
                <w:rFonts w:eastAsia="Calibri"/>
              </w:rPr>
              <w:t>ontinuous</w:t>
            </w:r>
          </w:p>
        </w:tc>
        <w:tc>
          <w:tcPr>
            <w:tcW w:w="992" w:type="dxa"/>
            <w:shd w:val="clear" w:color="auto" w:fill="auto"/>
          </w:tcPr>
          <w:p w:rsidR="00CE6D05" w:rsidRPr="009F66FE" w:rsidRDefault="00CE6D05" w:rsidP="00B81B98">
            <w:pPr>
              <w:pStyle w:val="Tabletext"/>
              <w:tabs>
                <w:tab w:val="decimal" w:pos="284"/>
              </w:tabs>
              <w:rPr>
                <w:rFonts w:eastAsia="Calibri"/>
              </w:rPr>
            </w:pPr>
            <w:r w:rsidRPr="009F66FE">
              <w:rPr>
                <w:rFonts w:eastAsia="Calibri"/>
              </w:rPr>
              <w:t>0.7</w:t>
            </w:r>
            <w:r>
              <w:rPr>
                <w:rFonts w:eastAsia="Calibri"/>
              </w:rPr>
              <w:t>4</w:t>
            </w:r>
            <w:r w:rsidRPr="009F66FE">
              <w:rPr>
                <w:rFonts w:eastAsia="Calibri"/>
              </w:rPr>
              <w:t>**</w:t>
            </w:r>
            <w:r w:rsidR="00DE6371">
              <w:rPr>
                <w:rFonts w:eastAsia="Calibri"/>
              </w:rPr>
              <w:t>*</w:t>
            </w:r>
          </w:p>
        </w:tc>
        <w:tc>
          <w:tcPr>
            <w:tcW w:w="993" w:type="dxa"/>
            <w:shd w:val="clear" w:color="auto" w:fill="auto"/>
          </w:tcPr>
          <w:p w:rsidR="00CE6D05" w:rsidRPr="009F66FE" w:rsidRDefault="00CE6D05" w:rsidP="00B81B98">
            <w:pPr>
              <w:pStyle w:val="Tabletext"/>
              <w:tabs>
                <w:tab w:val="decimal" w:pos="369"/>
              </w:tabs>
              <w:rPr>
                <w:rFonts w:eastAsia="Calibri"/>
              </w:rPr>
            </w:pPr>
            <w:r w:rsidRPr="009F66FE">
              <w:rPr>
                <w:rFonts w:eastAsia="Calibri"/>
              </w:rPr>
              <w:t>0.05</w:t>
            </w:r>
          </w:p>
        </w:tc>
        <w:tc>
          <w:tcPr>
            <w:tcW w:w="992" w:type="dxa"/>
          </w:tcPr>
          <w:p w:rsidR="00CE6D05" w:rsidRPr="009F66FE" w:rsidRDefault="00CE6D05" w:rsidP="00B81B98">
            <w:pPr>
              <w:pStyle w:val="Tabletext"/>
              <w:tabs>
                <w:tab w:val="decimal" w:pos="369"/>
              </w:tabs>
              <w:rPr>
                <w:rFonts w:eastAsia="Calibri"/>
              </w:rPr>
            </w:pPr>
            <w:r>
              <w:rPr>
                <w:rFonts w:eastAsia="Calibri"/>
              </w:rPr>
              <w:t>2.10</w:t>
            </w:r>
          </w:p>
        </w:tc>
        <w:tc>
          <w:tcPr>
            <w:tcW w:w="993" w:type="dxa"/>
            <w:shd w:val="clear" w:color="auto" w:fill="auto"/>
          </w:tcPr>
          <w:p w:rsidR="00CE6D05" w:rsidRPr="009F66FE" w:rsidRDefault="00CE6D05" w:rsidP="00B81B98">
            <w:pPr>
              <w:pStyle w:val="Tabletext"/>
              <w:tabs>
                <w:tab w:val="decimal" w:pos="284"/>
              </w:tabs>
              <w:rPr>
                <w:rFonts w:eastAsia="Calibri"/>
              </w:rPr>
            </w:pPr>
            <w:r>
              <w:rPr>
                <w:rFonts w:eastAsia="Calibri"/>
              </w:rPr>
              <w:t>&lt;.00</w:t>
            </w:r>
            <w:r w:rsidRPr="009F66FE">
              <w:rPr>
                <w:rFonts w:eastAsia="Calibri"/>
              </w:rPr>
              <w:t>1</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r w:rsidRPr="00046C85">
              <w:rPr>
                <w:rFonts w:eastAsia="Calibri"/>
              </w:rPr>
              <w:t>Peers’ higher ed. aspirations</w:t>
            </w:r>
          </w:p>
        </w:tc>
        <w:tc>
          <w:tcPr>
            <w:tcW w:w="2244" w:type="dxa"/>
            <w:shd w:val="clear" w:color="auto" w:fill="auto"/>
          </w:tcPr>
          <w:p w:rsidR="00CE6D05" w:rsidRPr="00046C85" w:rsidRDefault="00CE6D05" w:rsidP="00F14466">
            <w:pPr>
              <w:pStyle w:val="Tabletext"/>
              <w:rPr>
                <w:rFonts w:eastAsia="Calibri"/>
              </w:rPr>
            </w:pPr>
            <w:r w:rsidRPr="00046C85">
              <w:rPr>
                <w:rFonts w:eastAsia="Calibri"/>
              </w:rPr>
              <w:t>University</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0.0</w:t>
            </w:r>
            <w:r>
              <w:rPr>
                <w:rFonts w:eastAsia="Calibri"/>
              </w:rPr>
              <w:t>5</w:t>
            </w:r>
            <w:r w:rsidRPr="00046C85">
              <w:rPr>
                <w:rFonts w:eastAsia="Calibri"/>
                <w:color w:val="FFFFFF" w:themeColor="background1"/>
              </w:rPr>
              <w:t>**</w:t>
            </w:r>
            <w:r w:rsidR="00FE3233" w:rsidRPr="00046C85">
              <w:rPr>
                <w:rFonts w:eastAsia="Calibri"/>
                <w:color w:val="FFFFFF" w:themeColor="background1"/>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0.1</w:t>
            </w:r>
            <w:r>
              <w:rPr>
                <w:rFonts w:eastAsia="Calibri"/>
              </w:rPr>
              <w:t>3</w:t>
            </w:r>
          </w:p>
        </w:tc>
        <w:tc>
          <w:tcPr>
            <w:tcW w:w="992" w:type="dxa"/>
          </w:tcPr>
          <w:p w:rsidR="00CE6D05" w:rsidRPr="00046C85" w:rsidRDefault="00CE6D05" w:rsidP="00B81B98">
            <w:pPr>
              <w:pStyle w:val="Tabletext"/>
              <w:tabs>
                <w:tab w:val="decimal" w:pos="369"/>
              </w:tabs>
              <w:rPr>
                <w:rFonts w:eastAsia="Calibri"/>
              </w:rPr>
            </w:pPr>
            <w:r>
              <w:rPr>
                <w:rFonts w:eastAsia="Calibri"/>
              </w:rPr>
              <w:t>1.05</w:t>
            </w:r>
          </w:p>
        </w:tc>
        <w:tc>
          <w:tcPr>
            <w:tcW w:w="993"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0.</w:t>
            </w:r>
            <w:r>
              <w:rPr>
                <w:rFonts w:eastAsia="Calibri"/>
              </w:rPr>
              <w:t>709</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p>
        </w:tc>
        <w:tc>
          <w:tcPr>
            <w:tcW w:w="2244" w:type="dxa"/>
            <w:shd w:val="clear" w:color="auto" w:fill="auto"/>
          </w:tcPr>
          <w:p w:rsidR="00CE6D05" w:rsidRPr="00046C85" w:rsidRDefault="00CE6D05" w:rsidP="00F14466">
            <w:pPr>
              <w:pStyle w:val="Tabletext"/>
              <w:rPr>
                <w:rFonts w:eastAsia="Calibri"/>
              </w:rPr>
            </w:pPr>
            <w:r w:rsidRPr="00046C85">
              <w:rPr>
                <w:rFonts w:eastAsia="Calibri"/>
              </w:rPr>
              <w:t>Not university [R]</w:t>
            </w:r>
          </w:p>
        </w:tc>
        <w:tc>
          <w:tcPr>
            <w:tcW w:w="992" w:type="dxa"/>
            <w:shd w:val="clear" w:color="auto" w:fill="auto"/>
          </w:tcPr>
          <w:p w:rsidR="00CE6D05" w:rsidRPr="00046C85" w:rsidRDefault="00CE6D05" w:rsidP="00B81B98">
            <w:pPr>
              <w:pStyle w:val="Tabletext"/>
              <w:tabs>
                <w:tab w:val="decimal" w:pos="284"/>
              </w:tabs>
              <w:rPr>
                <w:rFonts w:eastAsia="Calibri"/>
              </w:rPr>
            </w:pPr>
          </w:p>
        </w:tc>
        <w:tc>
          <w:tcPr>
            <w:tcW w:w="993" w:type="dxa"/>
            <w:shd w:val="clear" w:color="auto" w:fill="auto"/>
          </w:tcPr>
          <w:p w:rsidR="00CE6D05" w:rsidRPr="00046C85" w:rsidRDefault="00CE6D05" w:rsidP="00B81B98">
            <w:pPr>
              <w:pStyle w:val="Tabletext"/>
              <w:tabs>
                <w:tab w:val="decimal" w:pos="369"/>
              </w:tabs>
              <w:rPr>
                <w:rFonts w:eastAsia="Calibri"/>
              </w:rPr>
            </w:pPr>
          </w:p>
        </w:tc>
        <w:tc>
          <w:tcPr>
            <w:tcW w:w="992" w:type="dxa"/>
          </w:tcPr>
          <w:p w:rsidR="00CE6D05" w:rsidRPr="00046C85" w:rsidRDefault="00CE6D05" w:rsidP="00B81B98">
            <w:pPr>
              <w:pStyle w:val="Tabletext"/>
              <w:tabs>
                <w:tab w:val="decimal" w:pos="369"/>
              </w:tabs>
              <w:rPr>
                <w:rFonts w:eastAsia="Calibri"/>
              </w:rPr>
            </w:pPr>
          </w:p>
        </w:tc>
        <w:tc>
          <w:tcPr>
            <w:tcW w:w="993" w:type="dxa"/>
            <w:shd w:val="clear" w:color="auto" w:fill="auto"/>
          </w:tcPr>
          <w:p w:rsidR="00CE6D05" w:rsidRPr="00046C85" w:rsidRDefault="00CE6D05" w:rsidP="00B81B98">
            <w:pPr>
              <w:pStyle w:val="Tabletext"/>
              <w:tabs>
                <w:tab w:val="decimal" w:pos="284"/>
              </w:tabs>
              <w:rPr>
                <w:rFonts w:eastAsia="Calibri"/>
              </w:rPr>
            </w:pPr>
          </w:p>
        </w:tc>
      </w:tr>
      <w:tr w:rsidR="00CE6D05" w:rsidRPr="008C7CA3" w:rsidTr="00B81B98">
        <w:tc>
          <w:tcPr>
            <w:tcW w:w="2575" w:type="dxa"/>
            <w:shd w:val="clear" w:color="auto" w:fill="auto"/>
          </w:tcPr>
          <w:p w:rsidR="00CE6D05" w:rsidRPr="00046C85" w:rsidRDefault="00CE6D05" w:rsidP="00F14466">
            <w:pPr>
              <w:pStyle w:val="Tabletext"/>
              <w:rPr>
                <w:rFonts w:eastAsia="Calibri"/>
              </w:rPr>
            </w:pPr>
            <w:r w:rsidRPr="00046C85">
              <w:rPr>
                <w:rFonts w:eastAsia="Calibri"/>
              </w:rPr>
              <w:t>Parents’ higher ed. aspirations</w:t>
            </w:r>
          </w:p>
        </w:tc>
        <w:tc>
          <w:tcPr>
            <w:tcW w:w="2244" w:type="dxa"/>
            <w:shd w:val="clear" w:color="auto" w:fill="auto"/>
          </w:tcPr>
          <w:p w:rsidR="00CE6D05" w:rsidRPr="00046C85" w:rsidRDefault="00CE6D05" w:rsidP="00F14466">
            <w:pPr>
              <w:pStyle w:val="Tabletext"/>
              <w:rPr>
                <w:rFonts w:eastAsia="Calibri"/>
              </w:rPr>
            </w:pPr>
            <w:r w:rsidRPr="00046C85">
              <w:rPr>
                <w:rFonts w:eastAsia="Calibri"/>
              </w:rPr>
              <w:t>University</w:t>
            </w:r>
          </w:p>
        </w:tc>
        <w:tc>
          <w:tcPr>
            <w:tcW w:w="992" w:type="dxa"/>
            <w:shd w:val="clear" w:color="auto" w:fill="auto"/>
          </w:tcPr>
          <w:p w:rsidR="00CE6D05" w:rsidRPr="00046C85" w:rsidRDefault="00CE6D05" w:rsidP="00B81B98">
            <w:pPr>
              <w:pStyle w:val="Tabletext"/>
              <w:tabs>
                <w:tab w:val="decimal" w:pos="284"/>
              </w:tabs>
              <w:rPr>
                <w:rFonts w:eastAsia="Calibri"/>
              </w:rPr>
            </w:pPr>
            <w:r w:rsidRPr="00046C85">
              <w:rPr>
                <w:rFonts w:eastAsia="Calibri"/>
              </w:rPr>
              <w:t>1.</w:t>
            </w:r>
            <w:r>
              <w:rPr>
                <w:rFonts w:eastAsia="Calibri"/>
              </w:rPr>
              <w:t>37</w:t>
            </w:r>
            <w:r w:rsidRPr="00046C85">
              <w:rPr>
                <w:rFonts w:eastAsia="Calibri"/>
              </w:rPr>
              <w:t>**</w:t>
            </w:r>
            <w:r w:rsidR="00DE6371">
              <w:rPr>
                <w:rFonts w:eastAsia="Calibri"/>
              </w:rPr>
              <w:t>*</w:t>
            </w:r>
          </w:p>
        </w:tc>
        <w:tc>
          <w:tcPr>
            <w:tcW w:w="993" w:type="dxa"/>
            <w:shd w:val="clear" w:color="auto" w:fill="auto"/>
          </w:tcPr>
          <w:p w:rsidR="00CE6D05" w:rsidRPr="00046C85" w:rsidRDefault="00CE6D05" w:rsidP="00B81B98">
            <w:pPr>
              <w:pStyle w:val="Tabletext"/>
              <w:tabs>
                <w:tab w:val="decimal" w:pos="369"/>
              </w:tabs>
              <w:rPr>
                <w:rFonts w:eastAsia="Calibri"/>
              </w:rPr>
            </w:pPr>
            <w:r w:rsidRPr="00046C85">
              <w:rPr>
                <w:rFonts w:eastAsia="Calibri"/>
              </w:rPr>
              <w:t>0.11</w:t>
            </w:r>
          </w:p>
        </w:tc>
        <w:tc>
          <w:tcPr>
            <w:tcW w:w="992" w:type="dxa"/>
          </w:tcPr>
          <w:p w:rsidR="00CE6D05" w:rsidRPr="00046C85" w:rsidRDefault="00CE6D05" w:rsidP="00B81B98">
            <w:pPr>
              <w:pStyle w:val="Tabletext"/>
              <w:tabs>
                <w:tab w:val="decimal" w:pos="369"/>
              </w:tabs>
              <w:rPr>
                <w:rFonts w:eastAsia="Calibri"/>
              </w:rPr>
            </w:pPr>
            <w:r>
              <w:rPr>
                <w:rFonts w:eastAsia="Calibri"/>
              </w:rPr>
              <w:t>3.93</w:t>
            </w:r>
          </w:p>
        </w:tc>
        <w:tc>
          <w:tcPr>
            <w:tcW w:w="993" w:type="dxa"/>
            <w:shd w:val="clear" w:color="auto" w:fill="auto"/>
          </w:tcPr>
          <w:p w:rsidR="00CE6D05" w:rsidRPr="00046C85" w:rsidRDefault="00CE6D05" w:rsidP="00B81B98">
            <w:pPr>
              <w:pStyle w:val="Tabletext"/>
              <w:tabs>
                <w:tab w:val="decimal" w:pos="284"/>
              </w:tabs>
              <w:rPr>
                <w:rFonts w:eastAsia="Calibri"/>
              </w:rPr>
            </w:pPr>
            <w:r>
              <w:rPr>
                <w:rFonts w:eastAsia="Calibri"/>
              </w:rPr>
              <w:t>&lt;.00</w:t>
            </w:r>
            <w:r w:rsidRPr="00046C85">
              <w:rPr>
                <w:rFonts w:eastAsia="Calibri"/>
              </w:rPr>
              <w:t>1</w:t>
            </w:r>
          </w:p>
        </w:tc>
      </w:tr>
      <w:tr w:rsidR="00CE6D05" w:rsidRPr="008C7CA3" w:rsidTr="00B81B98">
        <w:tc>
          <w:tcPr>
            <w:tcW w:w="2575" w:type="dxa"/>
            <w:shd w:val="clear" w:color="auto" w:fill="auto"/>
          </w:tcPr>
          <w:p w:rsidR="00CE6D05" w:rsidRPr="00046C85" w:rsidRDefault="00CE6D05" w:rsidP="00F14466">
            <w:pPr>
              <w:pStyle w:val="Tabletext"/>
              <w:rPr>
                <w:rFonts w:eastAsia="Calibri"/>
              </w:rPr>
            </w:pPr>
          </w:p>
        </w:tc>
        <w:tc>
          <w:tcPr>
            <w:tcW w:w="2244" w:type="dxa"/>
            <w:shd w:val="clear" w:color="auto" w:fill="auto"/>
          </w:tcPr>
          <w:p w:rsidR="00CE6D05" w:rsidRPr="00046C85" w:rsidRDefault="00CE6D05" w:rsidP="00F14466">
            <w:pPr>
              <w:pStyle w:val="Tabletext"/>
              <w:rPr>
                <w:rFonts w:eastAsia="Calibri"/>
              </w:rPr>
            </w:pPr>
            <w:r w:rsidRPr="00046C85">
              <w:rPr>
                <w:rFonts w:eastAsia="Calibri"/>
              </w:rPr>
              <w:t>Not university [R]</w:t>
            </w:r>
          </w:p>
        </w:tc>
        <w:tc>
          <w:tcPr>
            <w:tcW w:w="992" w:type="dxa"/>
            <w:shd w:val="clear" w:color="auto" w:fill="auto"/>
          </w:tcPr>
          <w:p w:rsidR="00CE6D05" w:rsidRPr="00046C85" w:rsidRDefault="00CE6D05" w:rsidP="00B81B98">
            <w:pPr>
              <w:pStyle w:val="Tabletext"/>
              <w:tabs>
                <w:tab w:val="decimal" w:pos="284"/>
              </w:tabs>
              <w:rPr>
                <w:rFonts w:eastAsia="Calibri"/>
              </w:rPr>
            </w:pPr>
          </w:p>
        </w:tc>
        <w:tc>
          <w:tcPr>
            <w:tcW w:w="993" w:type="dxa"/>
            <w:shd w:val="clear" w:color="auto" w:fill="auto"/>
          </w:tcPr>
          <w:p w:rsidR="00CE6D05" w:rsidRPr="00046C85" w:rsidRDefault="00CE6D05" w:rsidP="00B81B98">
            <w:pPr>
              <w:pStyle w:val="Tabletext"/>
              <w:tabs>
                <w:tab w:val="decimal" w:pos="369"/>
              </w:tabs>
              <w:rPr>
                <w:rFonts w:eastAsia="Calibri"/>
              </w:rPr>
            </w:pPr>
          </w:p>
        </w:tc>
        <w:tc>
          <w:tcPr>
            <w:tcW w:w="992" w:type="dxa"/>
          </w:tcPr>
          <w:p w:rsidR="00CE6D05" w:rsidRPr="00046C85" w:rsidRDefault="00CE6D05" w:rsidP="00B81B98">
            <w:pPr>
              <w:pStyle w:val="Tabletext"/>
              <w:tabs>
                <w:tab w:val="decimal" w:pos="369"/>
              </w:tabs>
              <w:rPr>
                <w:rFonts w:eastAsia="Calibri"/>
              </w:rPr>
            </w:pPr>
          </w:p>
        </w:tc>
        <w:tc>
          <w:tcPr>
            <w:tcW w:w="993" w:type="dxa"/>
            <w:shd w:val="clear" w:color="auto" w:fill="auto"/>
          </w:tcPr>
          <w:p w:rsidR="00CE6D05" w:rsidRPr="00046C85" w:rsidRDefault="00CE6D05" w:rsidP="00B81B98">
            <w:pPr>
              <w:pStyle w:val="Tabletext"/>
              <w:tabs>
                <w:tab w:val="decimal" w:pos="284"/>
              </w:tabs>
              <w:rPr>
                <w:rFonts w:eastAsia="Calibri"/>
              </w:rPr>
            </w:pPr>
          </w:p>
        </w:tc>
      </w:tr>
      <w:tr w:rsidR="00CE6D05" w:rsidRPr="008C7CA3" w:rsidTr="00B81B98">
        <w:tc>
          <w:tcPr>
            <w:tcW w:w="2575" w:type="dxa"/>
            <w:tcBorders>
              <w:top w:val="dashed" w:sz="4" w:space="0" w:color="auto"/>
            </w:tcBorders>
            <w:shd w:val="clear" w:color="auto" w:fill="auto"/>
          </w:tcPr>
          <w:p w:rsidR="00CE6D05" w:rsidRPr="00585B8F" w:rsidRDefault="00CE6D05" w:rsidP="00F14466">
            <w:pPr>
              <w:pStyle w:val="Tabletext"/>
              <w:rPr>
                <w:rFonts w:eastAsia="Calibri"/>
              </w:rPr>
            </w:pPr>
            <w:r>
              <w:rPr>
                <w:rFonts w:eastAsia="Calibri"/>
              </w:rPr>
              <w:t>Constant</w:t>
            </w:r>
          </w:p>
        </w:tc>
        <w:tc>
          <w:tcPr>
            <w:tcW w:w="2244" w:type="dxa"/>
            <w:tcBorders>
              <w:top w:val="dashed" w:sz="4" w:space="0" w:color="auto"/>
            </w:tcBorders>
            <w:shd w:val="clear" w:color="auto" w:fill="auto"/>
          </w:tcPr>
          <w:p w:rsidR="00CE6D05" w:rsidRPr="00585B8F" w:rsidRDefault="00CE6D05" w:rsidP="00F14466">
            <w:pPr>
              <w:pStyle w:val="Tabletext"/>
              <w:rPr>
                <w:rFonts w:eastAsia="Calibri"/>
              </w:rPr>
            </w:pPr>
          </w:p>
        </w:tc>
        <w:tc>
          <w:tcPr>
            <w:tcW w:w="992" w:type="dxa"/>
            <w:tcBorders>
              <w:top w:val="dashed" w:sz="4" w:space="0" w:color="auto"/>
            </w:tcBorders>
            <w:shd w:val="clear" w:color="auto" w:fill="auto"/>
          </w:tcPr>
          <w:p w:rsidR="00CE6D05" w:rsidRPr="00585B8F" w:rsidRDefault="00CE6D05" w:rsidP="00B81B98">
            <w:pPr>
              <w:pStyle w:val="Tabletext"/>
              <w:tabs>
                <w:tab w:val="decimal" w:pos="284"/>
              </w:tabs>
              <w:rPr>
                <w:rFonts w:eastAsia="Calibri"/>
              </w:rPr>
            </w:pPr>
            <w:r w:rsidRPr="00601013">
              <w:rPr>
                <w:rFonts w:eastAsia="Calibri"/>
              </w:rPr>
              <w:t>-</w:t>
            </w:r>
            <w:r w:rsidR="006C360A">
              <w:rPr>
                <w:rFonts w:eastAsia="Calibri"/>
              </w:rPr>
              <w:t>1.97</w:t>
            </w:r>
            <w:r>
              <w:rPr>
                <w:rFonts w:eastAsia="Calibri"/>
              </w:rPr>
              <w:t>**</w:t>
            </w:r>
            <w:r w:rsidR="00DE6371">
              <w:rPr>
                <w:rFonts w:eastAsia="Calibri"/>
              </w:rPr>
              <w:t>*</w:t>
            </w:r>
          </w:p>
        </w:tc>
        <w:tc>
          <w:tcPr>
            <w:tcW w:w="993" w:type="dxa"/>
            <w:tcBorders>
              <w:top w:val="dashed" w:sz="4" w:space="0" w:color="auto"/>
            </w:tcBorders>
            <w:shd w:val="clear" w:color="auto" w:fill="auto"/>
          </w:tcPr>
          <w:p w:rsidR="00CE6D05" w:rsidRPr="000225DF" w:rsidRDefault="00CE6D05" w:rsidP="00B81B98">
            <w:pPr>
              <w:pStyle w:val="Tabletext"/>
              <w:tabs>
                <w:tab w:val="decimal" w:pos="369"/>
              </w:tabs>
              <w:rPr>
                <w:rFonts w:eastAsia="Calibri"/>
              </w:rPr>
            </w:pPr>
            <w:r w:rsidRPr="000225DF">
              <w:rPr>
                <w:rFonts w:eastAsia="Calibri"/>
              </w:rPr>
              <w:t>0.2</w:t>
            </w:r>
            <w:r>
              <w:rPr>
                <w:rFonts w:eastAsia="Calibri"/>
              </w:rPr>
              <w:t>6</w:t>
            </w:r>
          </w:p>
        </w:tc>
        <w:tc>
          <w:tcPr>
            <w:tcW w:w="992" w:type="dxa"/>
            <w:tcBorders>
              <w:top w:val="dashed" w:sz="4" w:space="0" w:color="auto"/>
            </w:tcBorders>
          </w:tcPr>
          <w:p w:rsidR="00CE6D05" w:rsidRPr="000225DF" w:rsidRDefault="00CE6D05" w:rsidP="00B81B98">
            <w:pPr>
              <w:pStyle w:val="Tabletext"/>
              <w:tabs>
                <w:tab w:val="decimal" w:pos="369"/>
              </w:tabs>
              <w:rPr>
                <w:rFonts w:eastAsia="Calibri"/>
              </w:rPr>
            </w:pPr>
          </w:p>
        </w:tc>
        <w:tc>
          <w:tcPr>
            <w:tcW w:w="993" w:type="dxa"/>
            <w:tcBorders>
              <w:top w:val="dashed" w:sz="4" w:space="0" w:color="auto"/>
            </w:tcBorders>
            <w:shd w:val="clear" w:color="auto" w:fill="auto"/>
          </w:tcPr>
          <w:p w:rsidR="00CE6D05" w:rsidRPr="000225DF" w:rsidRDefault="00CE6D05" w:rsidP="00B81B98">
            <w:pPr>
              <w:pStyle w:val="Tabletext"/>
              <w:tabs>
                <w:tab w:val="decimal" w:pos="284"/>
              </w:tabs>
              <w:rPr>
                <w:rFonts w:eastAsia="Calibri"/>
              </w:rPr>
            </w:pPr>
            <w:r>
              <w:rPr>
                <w:rFonts w:eastAsia="Calibri"/>
              </w:rPr>
              <w:t>&lt;.00</w:t>
            </w:r>
            <w:r w:rsidRPr="000225DF">
              <w:rPr>
                <w:rFonts w:eastAsia="Calibri"/>
              </w:rPr>
              <w:t>1</w:t>
            </w:r>
          </w:p>
        </w:tc>
      </w:tr>
      <w:tr w:rsidR="000225DF" w:rsidRPr="008C7CA3" w:rsidTr="00B81B98">
        <w:tc>
          <w:tcPr>
            <w:tcW w:w="2575" w:type="dxa"/>
            <w:shd w:val="clear" w:color="auto" w:fill="auto"/>
          </w:tcPr>
          <w:p w:rsidR="000225DF" w:rsidRDefault="000225DF" w:rsidP="00F14466">
            <w:pPr>
              <w:pStyle w:val="Tabletext"/>
              <w:rPr>
                <w:rFonts w:eastAsia="Calibri"/>
              </w:rPr>
            </w:pPr>
            <w:r>
              <w:rPr>
                <w:rFonts w:eastAsia="Calibri"/>
              </w:rPr>
              <w:t>N</w:t>
            </w:r>
          </w:p>
        </w:tc>
        <w:tc>
          <w:tcPr>
            <w:tcW w:w="2244" w:type="dxa"/>
            <w:shd w:val="clear" w:color="auto" w:fill="auto"/>
          </w:tcPr>
          <w:p w:rsidR="000225DF" w:rsidRPr="00585B8F" w:rsidRDefault="000225DF" w:rsidP="00F14466">
            <w:pPr>
              <w:pStyle w:val="Tabletext"/>
              <w:rPr>
                <w:rFonts w:eastAsia="Calibri"/>
              </w:rPr>
            </w:pPr>
            <w:r w:rsidRPr="00425FF0">
              <w:rPr>
                <w:rFonts w:eastAsia="Calibri"/>
              </w:rPr>
              <w:t>14</w:t>
            </w:r>
            <w:r w:rsidR="002944C0" w:rsidRPr="00425FF0">
              <w:rPr>
                <w:rFonts w:eastAsia="Calibri"/>
              </w:rPr>
              <w:t xml:space="preserve"> </w:t>
            </w:r>
            <w:r w:rsidRPr="00425FF0">
              <w:rPr>
                <w:rFonts w:eastAsia="Calibri"/>
              </w:rPr>
              <w:t>251</w:t>
            </w:r>
          </w:p>
        </w:tc>
        <w:tc>
          <w:tcPr>
            <w:tcW w:w="992" w:type="dxa"/>
            <w:shd w:val="clear" w:color="auto" w:fill="auto"/>
          </w:tcPr>
          <w:p w:rsidR="000225DF" w:rsidRPr="00601013" w:rsidRDefault="000225DF" w:rsidP="00F14466">
            <w:pPr>
              <w:pStyle w:val="Tabletext"/>
              <w:rPr>
                <w:rFonts w:eastAsia="Calibri"/>
              </w:rPr>
            </w:pPr>
          </w:p>
        </w:tc>
        <w:tc>
          <w:tcPr>
            <w:tcW w:w="993" w:type="dxa"/>
            <w:shd w:val="clear" w:color="auto" w:fill="auto"/>
          </w:tcPr>
          <w:p w:rsidR="000225DF" w:rsidRPr="00AF58B4" w:rsidRDefault="000225DF" w:rsidP="00F14466">
            <w:pPr>
              <w:pStyle w:val="Tabletext"/>
              <w:rPr>
                <w:rFonts w:eastAsia="Calibri"/>
              </w:rPr>
            </w:pPr>
          </w:p>
        </w:tc>
        <w:tc>
          <w:tcPr>
            <w:tcW w:w="992" w:type="dxa"/>
          </w:tcPr>
          <w:p w:rsidR="000225DF" w:rsidRPr="00816240" w:rsidRDefault="000225DF" w:rsidP="00F14466">
            <w:pPr>
              <w:pStyle w:val="Tabletext"/>
              <w:rPr>
                <w:rFonts w:eastAsia="Calibri"/>
                <w:highlight w:val="yellow"/>
              </w:rPr>
            </w:pPr>
          </w:p>
        </w:tc>
        <w:tc>
          <w:tcPr>
            <w:tcW w:w="993" w:type="dxa"/>
            <w:shd w:val="clear" w:color="auto" w:fill="auto"/>
          </w:tcPr>
          <w:p w:rsidR="000225DF" w:rsidRPr="000225DF" w:rsidRDefault="000225DF" w:rsidP="00F14466">
            <w:pPr>
              <w:pStyle w:val="Tabletext"/>
              <w:rPr>
                <w:rFonts w:eastAsia="Calibri"/>
              </w:rPr>
            </w:pPr>
          </w:p>
        </w:tc>
      </w:tr>
      <w:tr w:rsidR="009F66FE" w:rsidRPr="008C7CA3" w:rsidTr="00B81B98">
        <w:tc>
          <w:tcPr>
            <w:tcW w:w="2575" w:type="dxa"/>
            <w:tcBorders>
              <w:bottom w:val="single" w:sz="4" w:space="0" w:color="auto"/>
            </w:tcBorders>
            <w:shd w:val="clear" w:color="auto" w:fill="auto"/>
          </w:tcPr>
          <w:p w:rsidR="009F66FE" w:rsidRDefault="002C70C8" w:rsidP="00F14466">
            <w:pPr>
              <w:pStyle w:val="Tabletext"/>
              <w:rPr>
                <w:rFonts w:eastAsia="Calibri"/>
              </w:rPr>
            </w:pPr>
            <w:r>
              <w:rPr>
                <w:rFonts w:eastAsia="Calibri"/>
              </w:rPr>
              <w:t xml:space="preserve">Pseudo </w:t>
            </w:r>
            <w:r w:rsidR="009F66FE">
              <w:rPr>
                <w:rFonts w:eastAsia="Calibri"/>
              </w:rPr>
              <w:t>R-squared</w:t>
            </w:r>
          </w:p>
        </w:tc>
        <w:tc>
          <w:tcPr>
            <w:tcW w:w="2244" w:type="dxa"/>
            <w:tcBorders>
              <w:bottom w:val="single" w:sz="4" w:space="0" w:color="auto"/>
            </w:tcBorders>
            <w:shd w:val="clear" w:color="auto" w:fill="auto"/>
          </w:tcPr>
          <w:p w:rsidR="009F66FE" w:rsidRDefault="006C360A" w:rsidP="00F14466">
            <w:pPr>
              <w:pStyle w:val="Tabletext"/>
              <w:rPr>
                <w:rFonts w:eastAsia="Calibri"/>
              </w:rPr>
            </w:pPr>
            <w:r w:rsidRPr="00702448">
              <w:rPr>
                <w:rFonts w:eastAsia="Calibri"/>
              </w:rPr>
              <w:t>0.24</w:t>
            </w:r>
          </w:p>
        </w:tc>
        <w:tc>
          <w:tcPr>
            <w:tcW w:w="992" w:type="dxa"/>
            <w:tcBorders>
              <w:bottom w:val="single" w:sz="4" w:space="0" w:color="auto"/>
            </w:tcBorders>
            <w:shd w:val="clear" w:color="auto" w:fill="auto"/>
          </w:tcPr>
          <w:p w:rsidR="009F66FE" w:rsidRPr="00585B8F" w:rsidRDefault="009F66FE" w:rsidP="00F14466">
            <w:pPr>
              <w:pStyle w:val="Tabletext"/>
              <w:rPr>
                <w:rFonts w:eastAsia="Calibri"/>
              </w:rPr>
            </w:pPr>
          </w:p>
        </w:tc>
        <w:tc>
          <w:tcPr>
            <w:tcW w:w="993" w:type="dxa"/>
            <w:tcBorders>
              <w:bottom w:val="single" w:sz="4" w:space="0" w:color="auto"/>
            </w:tcBorders>
            <w:shd w:val="clear" w:color="auto" w:fill="auto"/>
          </w:tcPr>
          <w:p w:rsidR="009F66FE" w:rsidRPr="00AF58B4" w:rsidRDefault="009F66FE" w:rsidP="00F14466">
            <w:pPr>
              <w:pStyle w:val="Tabletext"/>
              <w:rPr>
                <w:rFonts w:eastAsia="Calibri"/>
              </w:rPr>
            </w:pPr>
          </w:p>
        </w:tc>
        <w:tc>
          <w:tcPr>
            <w:tcW w:w="992" w:type="dxa"/>
            <w:tcBorders>
              <w:bottom w:val="single" w:sz="4" w:space="0" w:color="auto"/>
            </w:tcBorders>
          </w:tcPr>
          <w:p w:rsidR="009F66FE" w:rsidRPr="00816240" w:rsidRDefault="009F66FE" w:rsidP="00F14466">
            <w:pPr>
              <w:pStyle w:val="Tabletext"/>
              <w:rPr>
                <w:rFonts w:eastAsia="Calibri"/>
                <w:highlight w:val="yellow"/>
              </w:rPr>
            </w:pPr>
          </w:p>
        </w:tc>
        <w:tc>
          <w:tcPr>
            <w:tcW w:w="993" w:type="dxa"/>
            <w:tcBorders>
              <w:bottom w:val="single" w:sz="4" w:space="0" w:color="auto"/>
            </w:tcBorders>
            <w:shd w:val="clear" w:color="auto" w:fill="auto"/>
          </w:tcPr>
          <w:p w:rsidR="009F66FE" w:rsidRPr="000225DF" w:rsidRDefault="009F66FE" w:rsidP="00F14466">
            <w:pPr>
              <w:pStyle w:val="Tabletext"/>
              <w:rPr>
                <w:rFonts w:eastAsia="Calibri"/>
              </w:rPr>
            </w:pPr>
          </w:p>
        </w:tc>
      </w:tr>
    </w:tbl>
    <w:p w:rsidR="00542066" w:rsidRPr="00F14466" w:rsidRDefault="00542066" w:rsidP="00F14466">
      <w:pPr>
        <w:pStyle w:val="Source"/>
        <w:tabs>
          <w:tab w:val="left" w:pos="709"/>
          <w:tab w:val="left" w:pos="1276"/>
          <w:tab w:val="left" w:pos="1985"/>
        </w:tabs>
        <w:rPr>
          <w:rFonts w:eastAsia="Calibri"/>
        </w:rPr>
      </w:pPr>
      <w:r>
        <w:rPr>
          <w:rFonts w:eastAsia="Calibri"/>
        </w:rPr>
        <w:t xml:space="preserve">Notes: </w:t>
      </w:r>
      <w:r>
        <w:rPr>
          <w:rFonts w:eastAsia="Calibri"/>
        </w:rPr>
        <w:tab/>
        <w:t>*</w:t>
      </w:r>
      <w:r w:rsidR="00F14466">
        <w:rPr>
          <w:rFonts w:eastAsia="Calibri"/>
        </w:rPr>
        <w:tab/>
      </w:r>
      <w:r>
        <w:rPr>
          <w:rFonts w:eastAsia="Calibri"/>
        </w:rPr>
        <w:t>&lt;0.05</w:t>
      </w:r>
      <w:r>
        <w:rPr>
          <w:rFonts w:eastAsia="Calibri"/>
        </w:rPr>
        <w:tab/>
        <w:t>**</w:t>
      </w:r>
      <w:r w:rsidR="00F14466">
        <w:rPr>
          <w:rFonts w:eastAsia="Calibri"/>
        </w:rPr>
        <w:t xml:space="preserve"> </w:t>
      </w:r>
      <w:r>
        <w:rPr>
          <w:rFonts w:eastAsia="Calibri"/>
        </w:rPr>
        <w:t xml:space="preserve"> &lt;</w:t>
      </w:r>
      <w:r w:rsidRPr="00F14466">
        <w:rPr>
          <w:rFonts w:eastAsia="Calibri"/>
        </w:rPr>
        <w:t>0.01</w:t>
      </w:r>
      <w:r w:rsidRPr="00F14466">
        <w:rPr>
          <w:rFonts w:eastAsia="Calibri"/>
        </w:rPr>
        <w:tab/>
      </w:r>
      <w:r w:rsidR="00F14466">
        <w:rPr>
          <w:rFonts w:eastAsia="Calibri"/>
        </w:rPr>
        <w:t xml:space="preserve"> </w:t>
      </w:r>
      <w:r w:rsidRPr="00F14466">
        <w:rPr>
          <w:rFonts w:eastAsia="Calibri"/>
        </w:rPr>
        <w:t xml:space="preserve">*** </w:t>
      </w:r>
      <w:r w:rsidR="00F14466">
        <w:rPr>
          <w:rFonts w:eastAsia="Calibri"/>
        </w:rPr>
        <w:t xml:space="preserve"> </w:t>
      </w:r>
      <w:r w:rsidRPr="00F14466">
        <w:rPr>
          <w:rFonts w:eastAsia="Calibri"/>
        </w:rPr>
        <w:t>&lt;0.001</w:t>
      </w:r>
      <w:r w:rsidR="00A721FC">
        <w:rPr>
          <w:rFonts w:eastAsia="Calibri"/>
        </w:rPr>
        <w:t>.</w:t>
      </w:r>
    </w:p>
    <w:p w:rsidR="00542066" w:rsidRPr="00F14466" w:rsidRDefault="00F14466" w:rsidP="00F14466">
      <w:pPr>
        <w:pStyle w:val="Source"/>
        <w:ind w:left="709" w:hanging="142"/>
        <w:rPr>
          <w:rFonts w:eastAsia="Calibri"/>
        </w:rPr>
      </w:pPr>
      <w:r>
        <w:rPr>
          <w:rFonts w:eastAsia="Calibri"/>
        </w:rPr>
        <w:t>1</w:t>
      </w:r>
      <w:r>
        <w:rPr>
          <w:rFonts w:eastAsia="Calibri"/>
        </w:rPr>
        <w:tab/>
      </w:r>
      <w:r w:rsidR="00542066" w:rsidRPr="00F14466">
        <w:rPr>
          <w:rFonts w:eastAsia="Calibri"/>
        </w:rPr>
        <w:t xml:space="preserve">To facilitate the interpretation of regression results, the continuous predictors </w:t>
      </w:r>
      <w:r w:rsidR="00542066" w:rsidRPr="00115C18">
        <w:rPr>
          <w:rFonts w:eastAsia="Calibri"/>
          <w:i/>
        </w:rPr>
        <w:t>SES</w:t>
      </w:r>
      <w:r w:rsidR="00542066" w:rsidRPr="00F14466">
        <w:rPr>
          <w:rFonts w:eastAsia="Calibri"/>
        </w:rPr>
        <w:t xml:space="preserve">, </w:t>
      </w:r>
      <w:r w:rsidR="00542066" w:rsidRPr="00115C18">
        <w:rPr>
          <w:rFonts w:eastAsia="Calibri"/>
          <w:i/>
        </w:rPr>
        <w:t>attitudes to school</w:t>
      </w:r>
      <w:r w:rsidR="00542066" w:rsidRPr="00F14466">
        <w:rPr>
          <w:rFonts w:eastAsia="Calibri"/>
        </w:rPr>
        <w:t xml:space="preserve">, </w:t>
      </w:r>
      <w:r w:rsidR="00542066" w:rsidRPr="00115C18">
        <w:rPr>
          <w:rFonts w:eastAsia="Calibri"/>
          <w:i/>
        </w:rPr>
        <w:t>teacher quality</w:t>
      </w:r>
      <w:r w:rsidR="00542066" w:rsidRPr="00F14466">
        <w:rPr>
          <w:rFonts w:eastAsia="Calibri"/>
        </w:rPr>
        <w:t xml:space="preserve">, </w:t>
      </w:r>
      <w:r w:rsidR="00542066" w:rsidRPr="00115C18">
        <w:rPr>
          <w:rFonts w:eastAsia="Calibri"/>
          <w:i/>
        </w:rPr>
        <w:t>teacher</w:t>
      </w:r>
      <w:r w:rsidRPr="00115C18">
        <w:rPr>
          <w:rFonts w:eastAsia="Calibri"/>
          <w:i/>
        </w:rPr>
        <w:t>–</w:t>
      </w:r>
      <w:r w:rsidR="00542066" w:rsidRPr="00115C18">
        <w:rPr>
          <w:rFonts w:eastAsia="Calibri"/>
          <w:i/>
        </w:rPr>
        <w:t>student relations</w:t>
      </w:r>
      <w:r w:rsidR="00542066" w:rsidRPr="00F14466">
        <w:rPr>
          <w:rFonts w:eastAsia="Calibri"/>
        </w:rPr>
        <w:t xml:space="preserve"> and </w:t>
      </w:r>
      <w:r w:rsidR="00542066" w:rsidRPr="00115C18">
        <w:rPr>
          <w:rFonts w:eastAsia="Calibri"/>
          <w:i/>
        </w:rPr>
        <w:t>disciplinary climate</w:t>
      </w:r>
      <w:r w:rsidR="00542066" w:rsidRPr="00F14466">
        <w:rPr>
          <w:rFonts w:eastAsia="Calibri"/>
        </w:rPr>
        <w:t xml:space="preserve"> were standardised to a mean of 0 and a standard deviation of 1.</w:t>
      </w:r>
    </w:p>
    <w:p w:rsidR="002F7F94" w:rsidRPr="00F14466" w:rsidRDefault="00F14466" w:rsidP="00F14466">
      <w:pPr>
        <w:pStyle w:val="Source"/>
        <w:ind w:left="709" w:hanging="142"/>
        <w:rPr>
          <w:rFonts w:eastAsia="Calibri"/>
        </w:rPr>
      </w:pPr>
      <w:r>
        <w:t>2</w:t>
      </w:r>
      <w:r>
        <w:tab/>
      </w:r>
      <w:r w:rsidR="002F7F94" w:rsidRPr="00F14466">
        <w:t>For dichotomous outcome variables such as plans for Year 12 completion or university enrolment, ß-coefficients from logistic regression cannot be interpreted directly and are therefore commonly converted to odds ratios.</w:t>
      </w:r>
      <w:r w:rsidR="002F7F94" w:rsidRPr="00F14466">
        <w:rPr>
          <w:rStyle w:val="FootnoteReference"/>
        </w:rPr>
        <w:footnoteReference w:id="10"/>
      </w:r>
    </w:p>
    <w:p w:rsidR="002F7F94" w:rsidRPr="00F14466" w:rsidRDefault="00F14466" w:rsidP="00F14466">
      <w:pPr>
        <w:pStyle w:val="Source"/>
        <w:ind w:left="709" w:hanging="142"/>
        <w:rPr>
          <w:rFonts w:eastAsia="Calibri"/>
        </w:rPr>
      </w:pPr>
      <w:r>
        <w:t>3</w:t>
      </w:r>
      <w:r>
        <w:tab/>
      </w:r>
      <w:r w:rsidR="002F7F94" w:rsidRPr="00F14466">
        <w:t>In the logistic regression analysis, each categorical predictor has one of its levels denoted as the ‘reference category’, or ‘base case’. For example, gender has two levels: ‘female’ and ‘male’. In this study, ‘female’ is taken as the reference category, and the effect of varying gender from female to male is then estimated. The reference categories for the other predictors are denoted by [R]</w:t>
      </w:r>
      <w:r w:rsidR="00B81B98">
        <w:t>.</w:t>
      </w:r>
    </w:p>
    <w:p w:rsidR="002F7F94" w:rsidRDefault="00F14466" w:rsidP="00F14466">
      <w:pPr>
        <w:pStyle w:val="Source"/>
        <w:ind w:left="709" w:hanging="142"/>
        <w:rPr>
          <w:rFonts w:eastAsia="Calibri"/>
        </w:rPr>
      </w:pPr>
      <w:r>
        <w:t>4</w:t>
      </w:r>
      <w:r>
        <w:tab/>
      </w:r>
      <w:r w:rsidR="002F7F94" w:rsidRPr="00F14466">
        <w:t>The coefficient</w:t>
      </w:r>
      <w:r w:rsidR="002F7F94">
        <w:t xml:space="preserve"> gives the increase in the logit for a 100-unit increase in a student’s academic performance score.</w:t>
      </w:r>
    </w:p>
    <w:p w:rsidR="00871BC8" w:rsidRDefault="00871BC8">
      <w:pPr>
        <w:spacing w:before="0" w:line="240" w:lineRule="auto"/>
      </w:pPr>
      <w:r>
        <w:br w:type="page"/>
      </w:r>
    </w:p>
    <w:p w:rsidR="006717C5" w:rsidRDefault="006717C5" w:rsidP="00A721FC">
      <w:pPr>
        <w:pStyle w:val="Text"/>
        <w:ind w:right="-143"/>
      </w:pPr>
      <w:r>
        <w:lastRenderedPageBreak/>
        <w:t xml:space="preserve">So far, </w:t>
      </w:r>
      <w:r w:rsidR="00A721FC">
        <w:t xml:space="preserve">the </w:t>
      </w:r>
      <w:r>
        <w:t xml:space="preserve">logistic regression analysis has identified a set of predictor variables that influence students’ plans to complete Year 12. The interesting </w:t>
      </w:r>
      <w:r w:rsidR="00871BC8">
        <w:t xml:space="preserve">policy </w:t>
      </w:r>
      <w:r>
        <w:t>question now is</w:t>
      </w:r>
      <w:r w:rsidR="00871BC8">
        <w:t>:</w:t>
      </w:r>
      <w:r>
        <w:t xml:space="preserve"> which </w:t>
      </w:r>
      <w:r w:rsidR="00871BC8">
        <w:t>of these predictors matter most, and for which groups of students?</w:t>
      </w:r>
      <w:r w:rsidR="008B0ACD">
        <w:t xml:space="preserve"> One approach to exploring this</w:t>
      </w:r>
      <w:r w:rsidR="00140C7F">
        <w:t xml:space="preserve"> question</w:t>
      </w:r>
      <w:r>
        <w:t xml:space="preserve"> is via </w:t>
      </w:r>
      <w:r w:rsidRPr="005B61A3">
        <w:t>the Chi-square Automatic Interaction Detection (CHAID) method</w:t>
      </w:r>
      <w:r>
        <w:t>. Based on influential predictors, CHAID places respondents into</w:t>
      </w:r>
      <w:r w:rsidR="00707B5C">
        <w:t xml:space="preserve"> maximally different groups to</w:t>
      </w:r>
      <w:r>
        <w:t xml:space="preserve"> best predict the outcome of interest. </w:t>
      </w:r>
      <w:r w:rsidR="00092A6A">
        <w:t>The</w:t>
      </w:r>
      <w:r>
        <w:t xml:space="preserve"> CHAID method</w:t>
      </w:r>
      <w:r w:rsidR="00A721FC">
        <w:t> </w:t>
      </w:r>
      <w:r>
        <w:t>creates a tree diagram</w:t>
      </w:r>
      <w:r w:rsidR="004175BE">
        <w:t xml:space="preserve"> which</w:t>
      </w:r>
      <w:r>
        <w:t xml:space="preserve"> </w:t>
      </w:r>
      <w:r w:rsidRPr="009529FF">
        <w:t>allocat</w:t>
      </w:r>
      <w:r>
        <w:t>es influential predictors</w:t>
      </w:r>
      <w:r w:rsidRPr="009529FF">
        <w:t xml:space="preserve"> by order of </w:t>
      </w:r>
      <w:r>
        <w:t xml:space="preserve">relative </w:t>
      </w:r>
      <w:r w:rsidRPr="009529FF">
        <w:t>importance</w:t>
      </w:r>
      <w:r w:rsidR="00A721FC">
        <w:t>.</w:t>
      </w:r>
      <w:r w:rsidRPr="009529FF">
        <w:rPr>
          <w:rStyle w:val="FootnoteReference"/>
        </w:rPr>
        <w:footnoteReference w:id="11"/>
      </w:r>
    </w:p>
    <w:p w:rsidR="004A6998" w:rsidRDefault="006717C5" w:rsidP="004A6998">
      <w:pPr>
        <w:pStyle w:val="Text"/>
      </w:pPr>
      <w:r w:rsidRPr="009529FF">
        <w:t>Figur</w:t>
      </w:r>
      <w:r w:rsidR="00651D86">
        <w:t xml:space="preserve">e </w:t>
      </w:r>
      <w:r w:rsidR="00935375">
        <w:t>1</w:t>
      </w:r>
      <w:r>
        <w:t xml:space="preserve"> depicts the tree diagram for students’ plans to complete Year 12. The top node represents the outcome variable, Year 12 plans, and contains information on the frequency distribution o</w:t>
      </w:r>
      <w:r w:rsidR="00DC21BE">
        <w:t xml:space="preserve">f those who plan to complete </w:t>
      </w:r>
      <w:r w:rsidR="004B6514">
        <w:t>versus</w:t>
      </w:r>
      <w:r>
        <w:t xml:space="preserve"> those who do not. The lower-level nodes display influential predictors of Year 12 plans in descending order of magnitude.</w:t>
      </w:r>
      <w:r w:rsidR="00092A6A">
        <w:t xml:space="preserve"> </w:t>
      </w:r>
      <w:r w:rsidR="004A6998">
        <w:t xml:space="preserve">For the purpose of visual clarity, the tree diagram is limited to three levels beneath the outcome variable. Thus, only </w:t>
      </w:r>
      <w:r w:rsidR="00172478">
        <w:t>six</w:t>
      </w:r>
      <w:r w:rsidR="00277EAB">
        <w:t xml:space="preserve"> </w:t>
      </w:r>
      <w:r w:rsidR="003B0B5A">
        <w:t xml:space="preserve">predictors </w:t>
      </w:r>
      <w:r w:rsidR="00277EAB">
        <w:t>(academic performance</w:t>
      </w:r>
      <w:r w:rsidR="004A6998">
        <w:t>, lo</w:t>
      </w:r>
      <w:r w:rsidR="00172478">
        <w:t xml:space="preserve">cation, parents’ plans, </w:t>
      </w:r>
      <w:r w:rsidR="004A6998">
        <w:t>teacher</w:t>
      </w:r>
      <w:r w:rsidR="00A721FC">
        <w:t>—</w:t>
      </w:r>
      <w:r w:rsidR="00172478">
        <w:t>student</w:t>
      </w:r>
      <w:r w:rsidR="004A6998">
        <w:t xml:space="preserve"> relations, disciplinary climate</w:t>
      </w:r>
      <w:r w:rsidR="00DC21BE">
        <w:t xml:space="preserve"> and</w:t>
      </w:r>
      <w:r w:rsidR="00172478">
        <w:t xml:space="preserve"> gender</w:t>
      </w:r>
      <w:r w:rsidR="004A6998">
        <w:t xml:space="preserve">) of the ten </w:t>
      </w:r>
      <w:r w:rsidR="00140C7F" w:rsidRPr="00140C7F">
        <w:rPr>
          <w:i/>
        </w:rPr>
        <w:t xml:space="preserve">statistically </w:t>
      </w:r>
      <w:r w:rsidR="004A6998" w:rsidRPr="00140C7F">
        <w:rPr>
          <w:i/>
        </w:rPr>
        <w:t>significant</w:t>
      </w:r>
      <w:r w:rsidR="00782A6E">
        <w:t xml:space="preserve"> predictors</w:t>
      </w:r>
      <w:r w:rsidR="004A6998">
        <w:t xml:space="preserve"> identified </w:t>
      </w:r>
      <w:r w:rsidR="00782A6E">
        <w:t>in the previous</w:t>
      </w:r>
      <w:r w:rsidR="004A6998">
        <w:t xml:space="preserve"> logistic regression analysis appear in the diagram. </w:t>
      </w:r>
      <w:r w:rsidR="00172478">
        <w:t xml:space="preserve">This does not mean that the four remaining </w:t>
      </w:r>
      <w:r w:rsidR="00782A6E">
        <w:t>statistically significant predictors</w:t>
      </w:r>
      <w:r w:rsidR="00172478">
        <w:t xml:space="preserve"> (</w:t>
      </w:r>
      <w:r w:rsidR="004A6998">
        <w:t xml:space="preserve">Indigenous status, immigration background, </w:t>
      </w:r>
      <w:r w:rsidR="00DC21BE">
        <w:t>socioeconomic status and</w:t>
      </w:r>
      <w:r w:rsidR="004A6998">
        <w:t xml:space="preserve"> attitudes toward school) are not meaningful; it just means that their </w:t>
      </w:r>
      <w:r w:rsidR="004A6998" w:rsidRPr="00902CCF">
        <w:rPr>
          <w:i/>
        </w:rPr>
        <w:t>relative</w:t>
      </w:r>
      <w:r w:rsidR="004A6998">
        <w:t xml:space="preserve"> impact on Year 12 plans is weaker and thus occurs at lower levels within the diagram.</w:t>
      </w:r>
    </w:p>
    <w:p w:rsidR="004A6998" w:rsidRDefault="004A6998" w:rsidP="004A6998">
      <w:pPr>
        <w:pStyle w:val="Text"/>
      </w:pPr>
      <w:r>
        <w:t xml:space="preserve">The </w:t>
      </w:r>
      <w:r w:rsidR="00140C7F">
        <w:t>tree diagram</w:t>
      </w:r>
      <w:r w:rsidR="00277EAB">
        <w:t xml:space="preserve"> shows that academic performance</w:t>
      </w:r>
      <w:r>
        <w:t xml:space="preserve"> has the strongest im</w:t>
      </w:r>
      <w:r w:rsidR="00A05000">
        <w:t>pact on students’ Year 12 plans.</w:t>
      </w:r>
      <w:r>
        <w:t xml:space="preserve"> </w:t>
      </w:r>
      <w:r w:rsidR="00A05000">
        <w:t>S</w:t>
      </w:r>
      <w:r>
        <w:t>tudents in nod</w:t>
      </w:r>
      <w:r w:rsidR="00277EAB">
        <w:t>e 1 (lowest academic performance</w:t>
      </w:r>
      <w:r>
        <w:t xml:space="preserve">) </w:t>
      </w:r>
      <w:r w:rsidR="00A05000">
        <w:t>have</w:t>
      </w:r>
      <w:r w:rsidR="00782A6E">
        <w:t xml:space="preserve"> a probability of 0.6</w:t>
      </w:r>
      <w:r w:rsidR="00200A8F">
        <w:t>0</w:t>
      </w:r>
      <w:r w:rsidR="00782A6E">
        <w:t xml:space="preserve"> </w:t>
      </w:r>
      <w:r w:rsidR="00A721FC">
        <w:t>of</w:t>
      </w:r>
      <w:r w:rsidR="00A05000">
        <w:t xml:space="preserve"> intend</w:t>
      </w:r>
      <w:r w:rsidR="00A721FC">
        <w:t>ing to</w:t>
      </w:r>
      <w:r w:rsidR="00A05000">
        <w:t xml:space="preserve"> complet</w:t>
      </w:r>
      <w:r w:rsidR="00A721FC">
        <w:t>e</w:t>
      </w:r>
      <w:r w:rsidR="00A05000">
        <w:t xml:space="preserve"> Year 12, </w:t>
      </w:r>
      <w:r>
        <w:t xml:space="preserve">compared </w:t>
      </w:r>
      <w:r w:rsidR="00DC21BE">
        <w:t>with</w:t>
      </w:r>
      <w:r>
        <w:t xml:space="preserve"> </w:t>
      </w:r>
      <w:r w:rsidR="00140C7F">
        <w:t xml:space="preserve">a probability of 0.97 </w:t>
      </w:r>
      <w:r w:rsidR="00A05000">
        <w:t xml:space="preserve">for those </w:t>
      </w:r>
      <w:r w:rsidR="00277EAB">
        <w:t xml:space="preserve">in the highest </w:t>
      </w:r>
      <w:r w:rsidR="00782A6E">
        <w:t xml:space="preserve">academic </w:t>
      </w:r>
      <w:r w:rsidR="00277EAB">
        <w:t>performance</w:t>
      </w:r>
      <w:r>
        <w:t xml:space="preserve"> group (node 5)</w:t>
      </w:r>
      <w:r w:rsidR="00DC21BE">
        <w:t>.</w:t>
      </w:r>
      <w:r w:rsidR="00E45E37">
        <w:rPr>
          <w:rStyle w:val="FootnoteReference"/>
        </w:rPr>
        <w:footnoteReference w:id="12"/>
      </w:r>
      <w:r>
        <w:t xml:space="preserve"> For stu</w:t>
      </w:r>
      <w:r w:rsidR="00277EAB">
        <w:t>dents in the highest performance</w:t>
      </w:r>
      <w:r w:rsidR="00A75E34">
        <w:t xml:space="preserve"> group, parental</w:t>
      </w:r>
      <w:r>
        <w:t xml:space="preserve"> expectations about their </w:t>
      </w:r>
      <w:r w:rsidR="00A75E34">
        <w:t>children attending university is</w:t>
      </w:r>
      <w:r w:rsidR="00AB554D">
        <w:t xml:space="preserve"> the next most important </w:t>
      </w:r>
      <w:r>
        <w:t xml:space="preserve">predictor, followed by student gender. </w:t>
      </w:r>
      <w:r w:rsidR="00A05000">
        <w:t>A</w:t>
      </w:r>
      <w:r>
        <w:t xml:space="preserve">cademically weaker students whose parents do not expect them to attend university and who have poor relationships </w:t>
      </w:r>
      <w:r w:rsidR="00A721FC">
        <w:t>with</w:t>
      </w:r>
      <w:r>
        <w:t xml:space="preserve"> their teachers</w:t>
      </w:r>
      <w:r w:rsidR="00AB554D">
        <w:t xml:space="preserve"> (node 16</w:t>
      </w:r>
      <w:r>
        <w:t xml:space="preserve">) </w:t>
      </w:r>
      <w:r w:rsidR="00AB554D">
        <w:t xml:space="preserve">have only </w:t>
      </w:r>
      <w:r w:rsidR="00AB554D" w:rsidRPr="00651D86">
        <w:rPr>
          <w:i/>
        </w:rPr>
        <w:t>half</w:t>
      </w:r>
      <w:r w:rsidR="00AB554D">
        <w:t xml:space="preserve"> the probability of planning to complete Year 12 when compared </w:t>
      </w:r>
      <w:r w:rsidR="00DC21BE">
        <w:t>with</w:t>
      </w:r>
      <w:r w:rsidR="00AB554D">
        <w:t xml:space="preserve"> </w:t>
      </w:r>
      <w:r w:rsidR="00DC21BE">
        <w:t xml:space="preserve">academic high </w:t>
      </w:r>
      <w:r>
        <w:t>achievers whose parents expect them to atten</w:t>
      </w:r>
      <w:r w:rsidR="00AB554D">
        <w:t>d university and who are female (node 25)</w:t>
      </w:r>
      <w:r>
        <w:t>.</w:t>
      </w:r>
    </w:p>
    <w:p w:rsidR="00E45E37" w:rsidRDefault="00E45E37" w:rsidP="004A6998">
      <w:pPr>
        <w:pStyle w:val="Text"/>
      </w:pPr>
    </w:p>
    <w:p w:rsidR="006717C5" w:rsidRDefault="006717C5" w:rsidP="008C7CA3">
      <w:pPr>
        <w:pStyle w:val="Text"/>
        <w:rPr>
          <w:rFonts w:eastAsia="Calibri"/>
        </w:rPr>
        <w:sectPr w:rsidR="006717C5" w:rsidSect="00F60BA5">
          <w:footerReference w:type="even" r:id="rId14"/>
          <w:footerReference w:type="default" r:id="rId15"/>
          <w:pgSz w:w="11907" w:h="16840" w:code="9"/>
          <w:pgMar w:top="1276" w:right="1701" w:bottom="1276" w:left="1418" w:header="709" w:footer="556" w:gutter="0"/>
          <w:cols w:space="708"/>
          <w:docGrid w:linePitch="360"/>
        </w:sectPr>
      </w:pPr>
    </w:p>
    <w:p w:rsidR="006717C5" w:rsidRDefault="00200A8F" w:rsidP="006717C5">
      <w:pPr>
        <w:pStyle w:val="Figuretitle"/>
      </w:pPr>
      <w:r>
        <w:rPr>
          <w:noProof/>
          <w:lang w:eastAsia="en-AU"/>
        </w:rPr>
        <w:lastRenderedPageBreak/>
        <w:drawing>
          <wp:anchor distT="0" distB="0" distL="114300" distR="114300" simplePos="0" relativeHeight="251707392" behindDoc="0" locked="0" layoutInCell="1" allowOverlap="1">
            <wp:simplePos x="0" y="0"/>
            <wp:positionH relativeFrom="column">
              <wp:posOffset>20320</wp:posOffset>
            </wp:positionH>
            <wp:positionV relativeFrom="paragraph">
              <wp:posOffset>416560</wp:posOffset>
            </wp:positionV>
            <wp:extent cx="9070340" cy="4701540"/>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9070340" cy="4701540"/>
                    </a:xfrm>
                    <a:prstGeom prst="rect">
                      <a:avLst/>
                    </a:prstGeom>
                    <a:noFill/>
                    <a:ln w="9525">
                      <a:noFill/>
                      <a:miter lim="800000"/>
                      <a:headEnd/>
                      <a:tailEnd/>
                    </a:ln>
                  </pic:spPr>
                </pic:pic>
              </a:graphicData>
            </a:graphic>
          </wp:anchor>
        </w:drawing>
      </w:r>
      <w:bookmarkStart w:id="57" w:name="_Toc377396992"/>
      <w:r w:rsidR="00651D86">
        <w:t xml:space="preserve">Figure </w:t>
      </w:r>
      <w:r w:rsidR="00935375">
        <w:t>1</w:t>
      </w:r>
      <w:r w:rsidR="006717C5">
        <w:tab/>
        <w:t>Tree diagram for Year 12 plans</w:t>
      </w:r>
      <w:bookmarkEnd w:id="57"/>
    </w:p>
    <w:p w:rsidR="00C14211" w:rsidRDefault="00C14211" w:rsidP="008C7CA3">
      <w:pPr>
        <w:pStyle w:val="Text"/>
      </w:pPr>
    </w:p>
    <w:p w:rsidR="006717C5" w:rsidRDefault="006717C5" w:rsidP="004B02E6">
      <w:pPr>
        <w:pStyle w:val="Source"/>
        <w:ind w:left="0" w:firstLine="0"/>
        <w:rPr>
          <w:rFonts w:eastAsia="Calibri"/>
        </w:rPr>
      </w:pPr>
    </w:p>
    <w:p w:rsidR="006717C5" w:rsidRDefault="006717C5" w:rsidP="008C7CA3">
      <w:pPr>
        <w:pStyle w:val="Text"/>
        <w:rPr>
          <w:rFonts w:eastAsia="Calibri"/>
        </w:rPr>
        <w:sectPr w:rsidR="006717C5" w:rsidSect="0025216B">
          <w:footerReference w:type="even" r:id="rId17"/>
          <w:pgSz w:w="16840" w:h="11907" w:orient="landscape" w:code="9"/>
          <w:pgMar w:top="1134" w:right="1276" w:bottom="1134" w:left="1276" w:header="709" w:footer="556" w:gutter="0"/>
          <w:cols w:space="708"/>
          <w:docGrid w:linePitch="360"/>
        </w:sectPr>
      </w:pPr>
    </w:p>
    <w:p w:rsidR="00B26649" w:rsidRDefault="0063554F" w:rsidP="004A6998">
      <w:pPr>
        <w:pStyle w:val="Heading2"/>
        <w:rPr>
          <w:rFonts w:eastAsia="Calibri"/>
        </w:rPr>
      </w:pPr>
      <w:bookmarkStart w:id="58" w:name="_Toc380048246"/>
      <w:r>
        <w:lastRenderedPageBreak/>
        <w:t>Plans to attend university</w:t>
      </w:r>
      <w:bookmarkEnd w:id="58"/>
    </w:p>
    <w:p w:rsidR="0036461B" w:rsidRDefault="005D2591" w:rsidP="0036461B">
      <w:pPr>
        <w:pStyle w:val="Text"/>
      </w:pPr>
      <w:r w:rsidRPr="00E0151A">
        <w:t xml:space="preserve">The </w:t>
      </w:r>
      <w:r>
        <w:t xml:space="preserve">second </w:t>
      </w:r>
      <w:r w:rsidRPr="00E0151A">
        <w:t>outcome variable</w:t>
      </w:r>
      <w:r>
        <w:t xml:space="preserve"> </w:t>
      </w:r>
      <w:r w:rsidR="00F920B0">
        <w:t>of interest</w:t>
      </w:r>
      <w:r w:rsidRPr="00E0151A">
        <w:t xml:space="preserve"> is </w:t>
      </w:r>
      <w:r>
        <w:t>student</w:t>
      </w:r>
      <w:r w:rsidRPr="00E0151A">
        <w:t>s</w:t>
      </w:r>
      <w:r>
        <w:t>’</w:t>
      </w:r>
      <w:r w:rsidRPr="00E0151A">
        <w:t xml:space="preserve"> </w:t>
      </w:r>
      <w:r>
        <w:t>plans to enrol at university immediately after leaving school</w:t>
      </w:r>
      <w:r w:rsidRPr="00E0151A">
        <w:t xml:space="preserve"> (</w:t>
      </w:r>
      <w:r w:rsidR="00651D86">
        <w:t>yes/</w:t>
      </w:r>
      <w:r>
        <w:t xml:space="preserve">no). </w:t>
      </w:r>
      <w:r w:rsidR="0036461B">
        <w:rPr>
          <w:rFonts w:eastAsia="Calibri"/>
        </w:rPr>
        <w:t xml:space="preserve">The pooled logistic regression results for the probability of planning to attend university </w:t>
      </w:r>
      <w:r>
        <w:rPr>
          <w:rFonts w:eastAsia="Calibri"/>
        </w:rPr>
        <w:t>are provided</w:t>
      </w:r>
      <w:r w:rsidR="0036461B">
        <w:rPr>
          <w:rFonts w:eastAsia="Calibri"/>
        </w:rPr>
        <w:t xml:space="preserve"> in </w:t>
      </w:r>
      <w:r w:rsidR="00DA632F">
        <w:rPr>
          <w:rFonts w:eastAsia="Calibri"/>
        </w:rPr>
        <w:t xml:space="preserve">table </w:t>
      </w:r>
      <w:r w:rsidR="00EB20BB">
        <w:rPr>
          <w:rFonts w:eastAsia="Calibri"/>
        </w:rPr>
        <w:t>6</w:t>
      </w:r>
      <w:r w:rsidR="00DA632F">
        <w:rPr>
          <w:rFonts w:eastAsia="Calibri"/>
        </w:rPr>
        <w:t>.</w:t>
      </w:r>
    </w:p>
    <w:p w:rsidR="00636D34" w:rsidRDefault="00636D34" w:rsidP="00636D34">
      <w:pPr>
        <w:pStyle w:val="tabletitle"/>
        <w:rPr>
          <w:rFonts w:eastAsia="Calibri"/>
        </w:rPr>
      </w:pPr>
      <w:bookmarkStart w:id="59" w:name="_Ref349641278"/>
      <w:bookmarkStart w:id="60" w:name="_Toc377396983"/>
      <w:r>
        <w:rPr>
          <w:rFonts w:eastAsia="Calibri"/>
        </w:rPr>
        <w:t xml:space="preserve">Table </w:t>
      </w:r>
      <w:bookmarkEnd w:id="59"/>
      <w:r w:rsidR="00EB20BB">
        <w:t>6</w:t>
      </w:r>
      <w:r w:rsidR="007B0B48">
        <w:tab/>
      </w:r>
      <w:r>
        <w:rPr>
          <w:rFonts w:eastAsia="Calibri"/>
        </w:rPr>
        <w:t xml:space="preserve">Logistic regression </w:t>
      </w:r>
      <w:r w:rsidR="00542066">
        <w:rPr>
          <w:rFonts w:eastAsia="Calibri"/>
        </w:rPr>
        <w:t>results for</w:t>
      </w:r>
      <w:r w:rsidR="00B61B40">
        <w:rPr>
          <w:rFonts w:eastAsia="Calibri"/>
        </w:rPr>
        <w:t xml:space="preserve"> </w:t>
      </w:r>
      <w:r>
        <w:rPr>
          <w:rFonts w:eastAsia="Calibri"/>
        </w:rPr>
        <w:t xml:space="preserve">planning to </w:t>
      </w:r>
      <w:r w:rsidR="00542066">
        <w:rPr>
          <w:rFonts w:eastAsia="Calibri"/>
        </w:rPr>
        <w:t xml:space="preserve">attend </w:t>
      </w:r>
      <w:r>
        <w:rPr>
          <w:rFonts w:eastAsia="Calibri"/>
        </w:rPr>
        <w:t>university</w:t>
      </w:r>
      <w:r w:rsidR="00BD22FE" w:rsidRPr="00BD22FE">
        <w:rPr>
          <w:rFonts w:eastAsia="Calibri"/>
          <w:vertAlign w:val="superscript"/>
        </w:rPr>
        <w:t>1</w:t>
      </w:r>
      <w:bookmarkEnd w:id="60"/>
    </w:p>
    <w:tbl>
      <w:tblPr>
        <w:tblW w:w="8789" w:type="dxa"/>
        <w:tblInd w:w="57" w:type="dxa"/>
        <w:tblLayout w:type="fixed"/>
        <w:tblCellMar>
          <w:left w:w="57" w:type="dxa"/>
          <w:right w:w="57" w:type="dxa"/>
        </w:tblCellMar>
        <w:tblLook w:val="0000" w:firstRow="0" w:lastRow="0" w:firstColumn="0" w:lastColumn="0" w:noHBand="0" w:noVBand="0"/>
      </w:tblPr>
      <w:tblGrid>
        <w:gridCol w:w="2552"/>
        <w:gridCol w:w="2268"/>
        <w:gridCol w:w="992"/>
        <w:gridCol w:w="992"/>
        <w:gridCol w:w="992"/>
        <w:gridCol w:w="993"/>
      </w:tblGrid>
      <w:tr w:rsidR="00DE7F0C" w:rsidRPr="00115C18" w:rsidTr="000C6446">
        <w:tc>
          <w:tcPr>
            <w:tcW w:w="2552" w:type="dxa"/>
            <w:tcBorders>
              <w:top w:val="single" w:sz="4" w:space="0" w:color="000000"/>
              <w:bottom w:val="single" w:sz="4" w:space="0" w:color="000000"/>
            </w:tcBorders>
          </w:tcPr>
          <w:p w:rsidR="00DE7F0C" w:rsidRPr="00115C18" w:rsidRDefault="00DE7F0C" w:rsidP="00115C18">
            <w:pPr>
              <w:pStyle w:val="Tablehead1"/>
              <w:rPr>
                <w:rFonts w:eastAsia="Calibri"/>
              </w:rPr>
            </w:pPr>
            <w:r w:rsidRPr="00115C18">
              <w:rPr>
                <w:rFonts w:eastAsia="Calibri"/>
              </w:rPr>
              <w:t>Parameter</w:t>
            </w:r>
          </w:p>
        </w:tc>
        <w:tc>
          <w:tcPr>
            <w:tcW w:w="2268" w:type="dxa"/>
            <w:tcBorders>
              <w:top w:val="single" w:sz="4" w:space="0" w:color="000000"/>
              <w:bottom w:val="single" w:sz="4" w:space="0" w:color="000000"/>
            </w:tcBorders>
          </w:tcPr>
          <w:p w:rsidR="00DE7F0C" w:rsidRPr="00115C18" w:rsidRDefault="00DE7F0C" w:rsidP="00115C18">
            <w:pPr>
              <w:pStyle w:val="Tablehead1"/>
              <w:rPr>
                <w:rFonts w:eastAsia="Calibri"/>
              </w:rPr>
            </w:pPr>
            <w:r w:rsidRPr="00115C18">
              <w:rPr>
                <w:rFonts w:eastAsia="Calibri"/>
              </w:rPr>
              <w:t>Level</w:t>
            </w:r>
          </w:p>
        </w:tc>
        <w:tc>
          <w:tcPr>
            <w:tcW w:w="992" w:type="dxa"/>
            <w:tcBorders>
              <w:top w:val="single" w:sz="4" w:space="0" w:color="000000"/>
              <w:bottom w:val="single" w:sz="4" w:space="0" w:color="000000"/>
            </w:tcBorders>
          </w:tcPr>
          <w:p w:rsidR="00DE7F0C" w:rsidRPr="00115C18" w:rsidRDefault="00B91627" w:rsidP="00115C18">
            <w:pPr>
              <w:pStyle w:val="Tablehead1"/>
              <w:jc w:val="center"/>
              <w:rPr>
                <w:rFonts w:eastAsia="Calibri"/>
              </w:rPr>
            </w:pPr>
            <w:r w:rsidRPr="00115C18">
              <w:rPr>
                <w:rFonts w:eastAsia="Calibri"/>
              </w:rPr>
              <w:t>β</w:t>
            </w:r>
          </w:p>
        </w:tc>
        <w:tc>
          <w:tcPr>
            <w:tcW w:w="992" w:type="dxa"/>
            <w:tcBorders>
              <w:top w:val="single" w:sz="4" w:space="0" w:color="000000"/>
              <w:bottom w:val="single" w:sz="4" w:space="0" w:color="000000"/>
            </w:tcBorders>
          </w:tcPr>
          <w:p w:rsidR="00DE7F0C" w:rsidRPr="00115C18" w:rsidRDefault="005D2591" w:rsidP="00115C18">
            <w:pPr>
              <w:pStyle w:val="Tablehead1"/>
              <w:jc w:val="center"/>
              <w:rPr>
                <w:rFonts w:eastAsia="Calibri"/>
              </w:rPr>
            </w:pPr>
            <w:r w:rsidRPr="00115C18">
              <w:rPr>
                <w:rFonts w:eastAsia="Calibri"/>
              </w:rPr>
              <w:t>S</w:t>
            </w:r>
            <w:r w:rsidR="00DC21BE" w:rsidRPr="00115C18">
              <w:rPr>
                <w:rFonts w:eastAsia="Calibri"/>
              </w:rPr>
              <w:t xml:space="preserve">td </w:t>
            </w:r>
            <w:r w:rsidR="00115C18">
              <w:rPr>
                <w:rFonts w:eastAsia="Calibri"/>
              </w:rPr>
              <w:br/>
            </w:r>
            <w:r w:rsidR="00DC21BE" w:rsidRPr="00115C18">
              <w:rPr>
                <w:rFonts w:eastAsia="Calibri"/>
              </w:rPr>
              <w:t>error</w:t>
            </w:r>
          </w:p>
        </w:tc>
        <w:tc>
          <w:tcPr>
            <w:tcW w:w="992" w:type="dxa"/>
            <w:tcBorders>
              <w:top w:val="single" w:sz="4" w:space="0" w:color="000000"/>
              <w:bottom w:val="single" w:sz="4" w:space="0" w:color="000000"/>
            </w:tcBorders>
          </w:tcPr>
          <w:p w:rsidR="00DE7F0C" w:rsidRPr="00115C18" w:rsidRDefault="00892979" w:rsidP="00115C18">
            <w:pPr>
              <w:pStyle w:val="Tablehead1"/>
              <w:jc w:val="center"/>
              <w:rPr>
                <w:rFonts w:eastAsia="Calibri"/>
              </w:rPr>
            </w:pPr>
            <w:r w:rsidRPr="00115C18">
              <w:rPr>
                <w:rFonts w:eastAsia="Calibri"/>
              </w:rPr>
              <w:t xml:space="preserve">Odds </w:t>
            </w:r>
            <w:r w:rsidR="00115C18">
              <w:rPr>
                <w:rFonts w:eastAsia="Calibri"/>
              </w:rPr>
              <w:br/>
            </w:r>
            <w:r w:rsidRPr="00115C18">
              <w:rPr>
                <w:rFonts w:eastAsia="Calibri"/>
              </w:rPr>
              <w:t>ratio</w:t>
            </w:r>
          </w:p>
        </w:tc>
        <w:tc>
          <w:tcPr>
            <w:tcW w:w="993" w:type="dxa"/>
            <w:tcBorders>
              <w:top w:val="single" w:sz="4" w:space="0" w:color="000000"/>
              <w:bottom w:val="single" w:sz="4" w:space="0" w:color="000000"/>
            </w:tcBorders>
          </w:tcPr>
          <w:p w:rsidR="00DE7F0C" w:rsidRPr="00115C18" w:rsidRDefault="00DE7F0C" w:rsidP="00115C18">
            <w:pPr>
              <w:pStyle w:val="Tablehead1"/>
              <w:jc w:val="center"/>
              <w:rPr>
                <w:rFonts w:eastAsia="Calibri"/>
              </w:rPr>
            </w:pPr>
            <w:r w:rsidRPr="00115C18">
              <w:rPr>
                <w:rFonts w:eastAsia="Calibri"/>
              </w:rPr>
              <w:t>Pr &gt; |t|</w:t>
            </w:r>
          </w:p>
        </w:tc>
      </w:tr>
      <w:tr w:rsidR="00DE7F0C" w:rsidRPr="008C7CA3" w:rsidTr="000C6446">
        <w:tc>
          <w:tcPr>
            <w:tcW w:w="2552" w:type="dxa"/>
            <w:shd w:val="clear" w:color="auto" w:fill="auto"/>
          </w:tcPr>
          <w:p w:rsidR="00DE7F0C" w:rsidRPr="00585B8F" w:rsidRDefault="00DE7F0C" w:rsidP="00115C18">
            <w:pPr>
              <w:pStyle w:val="Tabletext"/>
              <w:rPr>
                <w:rFonts w:eastAsia="Calibri"/>
              </w:rPr>
            </w:pPr>
            <w:r w:rsidRPr="00585B8F">
              <w:rPr>
                <w:rFonts w:eastAsia="Calibri"/>
              </w:rPr>
              <w:t>Gender</w:t>
            </w:r>
          </w:p>
        </w:tc>
        <w:tc>
          <w:tcPr>
            <w:tcW w:w="2268" w:type="dxa"/>
            <w:shd w:val="clear" w:color="auto" w:fill="auto"/>
          </w:tcPr>
          <w:p w:rsidR="00DE7F0C" w:rsidRPr="00585B8F" w:rsidRDefault="00DE7F0C" w:rsidP="00115C18">
            <w:pPr>
              <w:pStyle w:val="Tabletext"/>
              <w:rPr>
                <w:rFonts w:eastAsia="Calibri"/>
              </w:rPr>
            </w:pPr>
            <w:r w:rsidRPr="00585B8F">
              <w:rPr>
                <w:rFonts w:eastAsia="Calibri"/>
              </w:rPr>
              <w:t>Male</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-0.</w:t>
            </w:r>
            <w:r w:rsidR="00892979">
              <w:rPr>
                <w:rFonts w:eastAsia="Calibri"/>
              </w:rPr>
              <w:t>1</w:t>
            </w:r>
            <w:r w:rsidR="00685722">
              <w:rPr>
                <w:rFonts w:eastAsia="Calibri"/>
              </w:rPr>
              <w:t>3</w:t>
            </w:r>
            <w:r w:rsidR="00FE3233" w:rsidRPr="00046C85">
              <w:rPr>
                <w:rFonts w:eastAsia="Calibri"/>
                <w:color w:val="FFFFFF" w:themeColor="background1"/>
              </w:rPr>
              <w:t>*</w:t>
            </w:r>
            <w:r w:rsidRPr="00DE7F0C">
              <w:rPr>
                <w:rFonts w:eastAsia="Calibri"/>
                <w:color w:val="FFFFFF" w:themeColor="background1"/>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0.0</w:t>
            </w:r>
            <w:r w:rsidR="00702448">
              <w:rPr>
                <w:rFonts w:eastAsia="Calibri"/>
              </w:rPr>
              <w:t>7</w:t>
            </w:r>
          </w:p>
        </w:tc>
        <w:tc>
          <w:tcPr>
            <w:tcW w:w="992" w:type="dxa"/>
          </w:tcPr>
          <w:p w:rsidR="00DE7F0C" w:rsidRPr="00431CB4" w:rsidRDefault="00892979" w:rsidP="00115C18">
            <w:pPr>
              <w:pStyle w:val="Tabletext"/>
              <w:tabs>
                <w:tab w:val="decimal" w:pos="369"/>
              </w:tabs>
              <w:rPr>
                <w:rFonts w:eastAsia="Calibri"/>
              </w:rPr>
            </w:pPr>
            <w:r w:rsidRPr="00431CB4">
              <w:rPr>
                <w:rFonts w:eastAsia="Calibri"/>
              </w:rPr>
              <w:t>0.88</w:t>
            </w:r>
          </w:p>
        </w:tc>
        <w:tc>
          <w:tcPr>
            <w:tcW w:w="993" w:type="dxa"/>
            <w:shd w:val="clear" w:color="auto" w:fill="auto"/>
          </w:tcPr>
          <w:p w:rsidR="00DE7F0C" w:rsidRPr="00DE7F0C" w:rsidRDefault="00702448" w:rsidP="00115C18">
            <w:pPr>
              <w:pStyle w:val="Tabletext"/>
              <w:tabs>
                <w:tab w:val="decimal" w:pos="312"/>
              </w:tabs>
              <w:rPr>
                <w:rFonts w:eastAsia="Calibri"/>
              </w:rPr>
            </w:pPr>
            <w:r>
              <w:rPr>
                <w:rFonts w:eastAsia="Calibri"/>
              </w:rPr>
              <w:t>0.067</w:t>
            </w:r>
          </w:p>
        </w:tc>
      </w:tr>
      <w:tr w:rsidR="00046C85" w:rsidRPr="008C7CA3" w:rsidTr="000C6446">
        <w:tc>
          <w:tcPr>
            <w:tcW w:w="2552" w:type="dxa"/>
            <w:shd w:val="clear" w:color="auto" w:fill="auto"/>
          </w:tcPr>
          <w:p w:rsidR="00046C85" w:rsidRPr="00585B8F" w:rsidRDefault="00046C85" w:rsidP="00115C18">
            <w:pPr>
              <w:pStyle w:val="Tabletext"/>
              <w:rPr>
                <w:rFonts w:eastAsia="Calibri"/>
              </w:rPr>
            </w:pPr>
          </w:p>
        </w:tc>
        <w:tc>
          <w:tcPr>
            <w:tcW w:w="2268" w:type="dxa"/>
            <w:shd w:val="clear" w:color="auto" w:fill="auto"/>
          </w:tcPr>
          <w:p w:rsidR="00046C85" w:rsidRPr="00585B8F" w:rsidRDefault="00046C85" w:rsidP="00115C18">
            <w:pPr>
              <w:pStyle w:val="Tabletext"/>
              <w:rPr>
                <w:rFonts w:eastAsia="Calibri"/>
              </w:rPr>
            </w:pPr>
            <w:r>
              <w:rPr>
                <w:rFonts w:eastAsia="Calibri"/>
              </w:rPr>
              <w:t>Female [R]</w:t>
            </w:r>
          </w:p>
        </w:tc>
        <w:tc>
          <w:tcPr>
            <w:tcW w:w="992" w:type="dxa"/>
            <w:shd w:val="clear" w:color="auto" w:fill="auto"/>
          </w:tcPr>
          <w:p w:rsidR="00046C85" w:rsidRPr="00DE7F0C" w:rsidRDefault="00046C85" w:rsidP="00115C18">
            <w:pPr>
              <w:pStyle w:val="Tabletext"/>
              <w:tabs>
                <w:tab w:val="decimal" w:pos="284"/>
              </w:tabs>
              <w:rPr>
                <w:rFonts w:eastAsia="Calibri"/>
              </w:rPr>
            </w:pPr>
          </w:p>
        </w:tc>
        <w:tc>
          <w:tcPr>
            <w:tcW w:w="992" w:type="dxa"/>
            <w:shd w:val="clear" w:color="auto" w:fill="auto"/>
          </w:tcPr>
          <w:p w:rsidR="00046C85" w:rsidRPr="00DE7F0C" w:rsidRDefault="00046C85" w:rsidP="00115C18">
            <w:pPr>
              <w:pStyle w:val="Tabletext"/>
              <w:tabs>
                <w:tab w:val="decimal" w:pos="369"/>
              </w:tabs>
              <w:rPr>
                <w:rFonts w:eastAsia="Calibri"/>
              </w:rPr>
            </w:pPr>
          </w:p>
        </w:tc>
        <w:tc>
          <w:tcPr>
            <w:tcW w:w="992" w:type="dxa"/>
          </w:tcPr>
          <w:p w:rsidR="00046C85" w:rsidRPr="00431CB4" w:rsidRDefault="00046C85" w:rsidP="00115C18">
            <w:pPr>
              <w:pStyle w:val="Tabletext"/>
              <w:tabs>
                <w:tab w:val="decimal" w:pos="369"/>
              </w:tabs>
              <w:rPr>
                <w:rFonts w:eastAsia="Calibri"/>
              </w:rPr>
            </w:pPr>
          </w:p>
        </w:tc>
        <w:tc>
          <w:tcPr>
            <w:tcW w:w="993" w:type="dxa"/>
            <w:shd w:val="clear" w:color="auto" w:fill="auto"/>
          </w:tcPr>
          <w:p w:rsidR="00046C85" w:rsidRPr="00DE7F0C" w:rsidRDefault="00046C85" w:rsidP="00115C18">
            <w:pPr>
              <w:pStyle w:val="Tabletext"/>
              <w:tabs>
                <w:tab w:val="decimal" w:pos="312"/>
              </w:tabs>
              <w:rPr>
                <w:rFonts w:eastAsia="Calibri"/>
              </w:rPr>
            </w:pPr>
          </w:p>
        </w:tc>
      </w:tr>
      <w:tr w:rsidR="00DE7F0C" w:rsidRPr="008C7CA3" w:rsidTr="000C6446">
        <w:tc>
          <w:tcPr>
            <w:tcW w:w="2552" w:type="dxa"/>
            <w:shd w:val="clear" w:color="auto" w:fill="auto"/>
          </w:tcPr>
          <w:p w:rsidR="00DE7F0C" w:rsidRPr="00585B8F" w:rsidRDefault="00DE7F0C" w:rsidP="00115C18">
            <w:pPr>
              <w:pStyle w:val="Tabletext"/>
              <w:rPr>
                <w:rFonts w:eastAsia="Calibri"/>
              </w:rPr>
            </w:pPr>
            <w:r w:rsidRPr="00585B8F">
              <w:rPr>
                <w:rFonts w:eastAsia="Calibri"/>
              </w:rPr>
              <w:t>Indigenous status</w:t>
            </w:r>
          </w:p>
        </w:tc>
        <w:tc>
          <w:tcPr>
            <w:tcW w:w="2268" w:type="dxa"/>
            <w:shd w:val="clear" w:color="auto" w:fill="auto"/>
          </w:tcPr>
          <w:p w:rsidR="00DE7F0C" w:rsidRPr="00585B8F" w:rsidRDefault="00DE7F0C" w:rsidP="00115C18">
            <w:pPr>
              <w:pStyle w:val="Tabletext"/>
              <w:rPr>
                <w:rFonts w:eastAsia="Calibri"/>
              </w:rPr>
            </w:pPr>
            <w:r w:rsidRPr="00585B8F">
              <w:rPr>
                <w:rFonts w:eastAsia="Calibri"/>
              </w:rPr>
              <w:t>Indigenous</w:t>
            </w:r>
            <w:r w:rsidR="00D93291">
              <w:rPr>
                <w:rFonts w:eastAsia="Calibri"/>
                <w:vertAlign w:val="superscript"/>
              </w:rPr>
              <w:t>2</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0.</w:t>
            </w:r>
            <w:r w:rsidR="00892979">
              <w:rPr>
                <w:rFonts w:eastAsia="Calibri"/>
              </w:rPr>
              <w:t>3</w:t>
            </w:r>
            <w:r w:rsidR="00685722">
              <w:rPr>
                <w:rFonts w:eastAsia="Calibri"/>
              </w:rPr>
              <w:t>9</w:t>
            </w:r>
            <w:r w:rsidR="00FE3233" w:rsidRPr="00046C85">
              <w:rPr>
                <w:rFonts w:eastAsia="Calibri"/>
                <w:color w:val="FFFFFF" w:themeColor="background1"/>
              </w:rPr>
              <w:t>*</w:t>
            </w:r>
            <w:r w:rsidRPr="00DE7F0C">
              <w:rPr>
                <w:rFonts w:eastAsia="Calibri"/>
                <w:color w:val="FFFFFF" w:themeColor="background1"/>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w:t>
            </w:r>
            <w:r w:rsidR="00892979">
              <w:rPr>
                <w:rFonts w:eastAsia="Calibri"/>
              </w:rPr>
              <w:t>2</w:t>
            </w:r>
            <w:r w:rsidR="00702448">
              <w:rPr>
                <w:rFonts w:eastAsia="Calibri"/>
              </w:rPr>
              <w:t>8</w:t>
            </w:r>
          </w:p>
        </w:tc>
        <w:tc>
          <w:tcPr>
            <w:tcW w:w="992" w:type="dxa"/>
          </w:tcPr>
          <w:p w:rsidR="00DE7F0C" w:rsidRPr="00431CB4" w:rsidRDefault="00DE7F0C" w:rsidP="00115C18">
            <w:pPr>
              <w:pStyle w:val="Tabletext"/>
              <w:tabs>
                <w:tab w:val="decimal" w:pos="369"/>
              </w:tabs>
              <w:rPr>
                <w:rFonts w:eastAsia="Calibri"/>
              </w:rPr>
            </w:pPr>
            <w:r w:rsidRPr="00431CB4">
              <w:rPr>
                <w:rFonts w:eastAsia="Calibri"/>
              </w:rPr>
              <w:t>1.</w:t>
            </w:r>
            <w:r w:rsidR="00892979" w:rsidRPr="00431CB4">
              <w:rPr>
                <w:rFonts w:eastAsia="Calibri"/>
              </w:rPr>
              <w:t>4</w:t>
            </w:r>
            <w:r w:rsidR="00702448">
              <w:rPr>
                <w:rFonts w:eastAsia="Calibri"/>
              </w:rPr>
              <w:t>8</w:t>
            </w:r>
          </w:p>
        </w:tc>
        <w:tc>
          <w:tcPr>
            <w:tcW w:w="993" w:type="dxa"/>
            <w:shd w:val="clear" w:color="auto" w:fill="auto"/>
          </w:tcPr>
          <w:p w:rsidR="00DE7F0C" w:rsidRPr="00DE7F0C" w:rsidRDefault="00DE7F0C" w:rsidP="00115C18">
            <w:pPr>
              <w:pStyle w:val="Tabletext"/>
              <w:tabs>
                <w:tab w:val="decimal" w:pos="312"/>
              </w:tabs>
              <w:rPr>
                <w:rFonts w:eastAsia="Calibri"/>
              </w:rPr>
            </w:pPr>
            <w:r w:rsidRPr="00DE7F0C">
              <w:rPr>
                <w:rFonts w:eastAsia="Calibri"/>
              </w:rPr>
              <w:t>0.</w:t>
            </w:r>
            <w:r w:rsidR="00892979">
              <w:rPr>
                <w:rFonts w:eastAsia="Calibri"/>
              </w:rPr>
              <w:t>1</w:t>
            </w:r>
            <w:r w:rsidR="00702448">
              <w:rPr>
                <w:rFonts w:eastAsia="Calibri"/>
              </w:rPr>
              <w:t>64</w:t>
            </w:r>
          </w:p>
        </w:tc>
      </w:tr>
      <w:tr w:rsidR="00046C85" w:rsidRPr="008C7CA3" w:rsidTr="000C6446">
        <w:tc>
          <w:tcPr>
            <w:tcW w:w="2552" w:type="dxa"/>
            <w:shd w:val="clear" w:color="auto" w:fill="auto"/>
          </w:tcPr>
          <w:p w:rsidR="00046C85" w:rsidRPr="00585B8F" w:rsidRDefault="00046C85" w:rsidP="00115C18">
            <w:pPr>
              <w:pStyle w:val="Tabletext"/>
              <w:rPr>
                <w:rFonts w:eastAsia="Calibri"/>
              </w:rPr>
            </w:pPr>
          </w:p>
        </w:tc>
        <w:tc>
          <w:tcPr>
            <w:tcW w:w="2268" w:type="dxa"/>
            <w:shd w:val="clear" w:color="auto" w:fill="auto"/>
          </w:tcPr>
          <w:p w:rsidR="00046C85" w:rsidRPr="00585B8F" w:rsidRDefault="00046C85" w:rsidP="00115C18">
            <w:pPr>
              <w:pStyle w:val="Tabletext"/>
              <w:rPr>
                <w:rFonts w:eastAsia="Calibri"/>
              </w:rPr>
            </w:pPr>
            <w:r>
              <w:rPr>
                <w:rFonts w:eastAsia="Calibri"/>
              </w:rPr>
              <w:t>Non-Indigenous [R]</w:t>
            </w:r>
          </w:p>
        </w:tc>
        <w:tc>
          <w:tcPr>
            <w:tcW w:w="992" w:type="dxa"/>
            <w:shd w:val="clear" w:color="auto" w:fill="auto"/>
          </w:tcPr>
          <w:p w:rsidR="00046C85" w:rsidRPr="00DE7F0C" w:rsidRDefault="00046C85" w:rsidP="00115C18">
            <w:pPr>
              <w:pStyle w:val="Tabletext"/>
              <w:tabs>
                <w:tab w:val="decimal" w:pos="284"/>
              </w:tabs>
              <w:rPr>
                <w:rFonts w:eastAsia="Calibri"/>
              </w:rPr>
            </w:pPr>
          </w:p>
        </w:tc>
        <w:tc>
          <w:tcPr>
            <w:tcW w:w="992" w:type="dxa"/>
            <w:shd w:val="clear" w:color="auto" w:fill="auto"/>
          </w:tcPr>
          <w:p w:rsidR="00046C85" w:rsidRPr="00DE7F0C" w:rsidRDefault="00046C85" w:rsidP="00115C18">
            <w:pPr>
              <w:pStyle w:val="Tabletext"/>
              <w:tabs>
                <w:tab w:val="decimal" w:pos="369"/>
              </w:tabs>
              <w:rPr>
                <w:rFonts w:eastAsia="Calibri"/>
              </w:rPr>
            </w:pPr>
          </w:p>
        </w:tc>
        <w:tc>
          <w:tcPr>
            <w:tcW w:w="992" w:type="dxa"/>
          </w:tcPr>
          <w:p w:rsidR="00046C85" w:rsidRPr="00431CB4" w:rsidRDefault="00046C85" w:rsidP="00115C18">
            <w:pPr>
              <w:pStyle w:val="Tabletext"/>
              <w:tabs>
                <w:tab w:val="decimal" w:pos="369"/>
              </w:tabs>
              <w:rPr>
                <w:rFonts w:eastAsia="Calibri"/>
              </w:rPr>
            </w:pPr>
          </w:p>
        </w:tc>
        <w:tc>
          <w:tcPr>
            <w:tcW w:w="993" w:type="dxa"/>
            <w:shd w:val="clear" w:color="auto" w:fill="auto"/>
          </w:tcPr>
          <w:p w:rsidR="00046C85" w:rsidRPr="00DE7F0C" w:rsidRDefault="00046C85" w:rsidP="00115C18">
            <w:pPr>
              <w:pStyle w:val="Tabletext"/>
              <w:tabs>
                <w:tab w:val="decimal" w:pos="312"/>
              </w:tabs>
              <w:rPr>
                <w:rFonts w:eastAsia="Calibri"/>
              </w:rPr>
            </w:pPr>
          </w:p>
        </w:tc>
      </w:tr>
      <w:tr w:rsidR="00DE7F0C" w:rsidRPr="001008C8" w:rsidTr="000C6446">
        <w:tc>
          <w:tcPr>
            <w:tcW w:w="2552" w:type="dxa"/>
            <w:shd w:val="clear" w:color="auto" w:fill="auto"/>
          </w:tcPr>
          <w:p w:rsidR="00DE7F0C" w:rsidRPr="00585B8F" w:rsidRDefault="00DE7F0C" w:rsidP="00115C18">
            <w:pPr>
              <w:pStyle w:val="Tabletext"/>
              <w:rPr>
                <w:rFonts w:eastAsia="Calibri"/>
              </w:rPr>
            </w:pPr>
            <w:r w:rsidRPr="00585B8F">
              <w:rPr>
                <w:rFonts w:eastAsia="Calibri"/>
              </w:rPr>
              <w:t>Location</w:t>
            </w:r>
          </w:p>
        </w:tc>
        <w:tc>
          <w:tcPr>
            <w:tcW w:w="2268" w:type="dxa"/>
            <w:shd w:val="clear" w:color="auto" w:fill="auto"/>
          </w:tcPr>
          <w:p w:rsidR="00DE7F0C" w:rsidRPr="00585B8F" w:rsidRDefault="00DC21BE" w:rsidP="00115C18">
            <w:pPr>
              <w:pStyle w:val="Tabletext"/>
              <w:rPr>
                <w:rFonts w:eastAsia="Calibri"/>
              </w:rPr>
            </w:pPr>
            <w:r>
              <w:rPr>
                <w:rFonts w:eastAsia="Calibri"/>
              </w:rPr>
              <w:t>Regional/r</w:t>
            </w:r>
            <w:r w:rsidR="00DE7F0C" w:rsidRPr="00585B8F">
              <w:rPr>
                <w:rFonts w:eastAsia="Calibri"/>
              </w:rPr>
              <w:t>emote</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-0.1</w:t>
            </w:r>
            <w:r w:rsidR="00685722">
              <w:rPr>
                <w:rFonts w:eastAsia="Calibri"/>
              </w:rPr>
              <w:t>4</w:t>
            </w:r>
            <w:r w:rsidR="00FE3233" w:rsidRPr="00046C85">
              <w:rPr>
                <w:rFonts w:eastAsia="Calibri"/>
                <w:color w:val="FFFFFF" w:themeColor="background1"/>
              </w:rPr>
              <w:t>*</w:t>
            </w:r>
            <w:r w:rsidRPr="00DE7F0C">
              <w:rPr>
                <w:rFonts w:eastAsia="Calibri"/>
                <w:color w:val="FFFFFF" w:themeColor="background1"/>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0.0</w:t>
            </w:r>
            <w:r w:rsidR="00702448">
              <w:rPr>
                <w:rFonts w:eastAsia="Calibri"/>
              </w:rPr>
              <w:t>8</w:t>
            </w:r>
          </w:p>
        </w:tc>
        <w:tc>
          <w:tcPr>
            <w:tcW w:w="992" w:type="dxa"/>
          </w:tcPr>
          <w:p w:rsidR="00DE7F0C" w:rsidRPr="00431CB4" w:rsidRDefault="00DE7F0C" w:rsidP="00115C18">
            <w:pPr>
              <w:pStyle w:val="Tabletext"/>
              <w:tabs>
                <w:tab w:val="decimal" w:pos="369"/>
              </w:tabs>
              <w:rPr>
                <w:rFonts w:eastAsia="Calibri"/>
              </w:rPr>
            </w:pPr>
            <w:r w:rsidRPr="00431CB4">
              <w:rPr>
                <w:rFonts w:eastAsia="Calibri"/>
              </w:rPr>
              <w:t>0.</w:t>
            </w:r>
            <w:r w:rsidR="00702448">
              <w:rPr>
                <w:rFonts w:eastAsia="Calibri"/>
              </w:rPr>
              <w:t>87</w:t>
            </w:r>
          </w:p>
        </w:tc>
        <w:tc>
          <w:tcPr>
            <w:tcW w:w="993" w:type="dxa"/>
            <w:shd w:val="clear" w:color="auto" w:fill="auto"/>
          </w:tcPr>
          <w:p w:rsidR="00DE7F0C" w:rsidRPr="00DE7F0C" w:rsidRDefault="00DE7F0C" w:rsidP="00115C18">
            <w:pPr>
              <w:pStyle w:val="Tabletext"/>
              <w:tabs>
                <w:tab w:val="decimal" w:pos="312"/>
              </w:tabs>
              <w:rPr>
                <w:rFonts w:eastAsia="Calibri"/>
              </w:rPr>
            </w:pPr>
            <w:r w:rsidRPr="00DE7F0C">
              <w:rPr>
                <w:rFonts w:eastAsia="Calibri"/>
              </w:rPr>
              <w:t>0.</w:t>
            </w:r>
            <w:r w:rsidR="00702448">
              <w:rPr>
                <w:rFonts w:eastAsia="Calibri"/>
              </w:rPr>
              <w:t>082</w:t>
            </w:r>
          </w:p>
        </w:tc>
      </w:tr>
      <w:tr w:rsidR="00046C85" w:rsidRPr="001008C8" w:rsidTr="000C6446">
        <w:tc>
          <w:tcPr>
            <w:tcW w:w="2552" w:type="dxa"/>
            <w:shd w:val="clear" w:color="auto" w:fill="auto"/>
          </w:tcPr>
          <w:p w:rsidR="00046C85" w:rsidRPr="00585B8F" w:rsidRDefault="00046C85" w:rsidP="00115C18">
            <w:pPr>
              <w:pStyle w:val="Tabletext"/>
              <w:rPr>
                <w:rFonts w:eastAsia="Calibri"/>
              </w:rPr>
            </w:pPr>
          </w:p>
        </w:tc>
        <w:tc>
          <w:tcPr>
            <w:tcW w:w="2268" w:type="dxa"/>
            <w:shd w:val="clear" w:color="auto" w:fill="auto"/>
          </w:tcPr>
          <w:p w:rsidR="00046C85" w:rsidRPr="00585B8F" w:rsidRDefault="00046C85" w:rsidP="00115C18">
            <w:pPr>
              <w:pStyle w:val="Tabletext"/>
              <w:rPr>
                <w:rFonts w:eastAsia="Calibri"/>
              </w:rPr>
            </w:pPr>
            <w:r>
              <w:rPr>
                <w:rFonts w:eastAsia="Calibri"/>
              </w:rPr>
              <w:t>Metropolitan [R]</w:t>
            </w:r>
          </w:p>
        </w:tc>
        <w:tc>
          <w:tcPr>
            <w:tcW w:w="992" w:type="dxa"/>
            <w:shd w:val="clear" w:color="auto" w:fill="auto"/>
          </w:tcPr>
          <w:p w:rsidR="00046C85" w:rsidRPr="00DE7F0C" w:rsidRDefault="00046C85" w:rsidP="00115C18">
            <w:pPr>
              <w:pStyle w:val="Tabletext"/>
              <w:tabs>
                <w:tab w:val="decimal" w:pos="284"/>
              </w:tabs>
              <w:rPr>
                <w:rFonts w:eastAsia="Calibri"/>
              </w:rPr>
            </w:pPr>
          </w:p>
        </w:tc>
        <w:tc>
          <w:tcPr>
            <w:tcW w:w="992" w:type="dxa"/>
            <w:shd w:val="clear" w:color="auto" w:fill="auto"/>
          </w:tcPr>
          <w:p w:rsidR="00046C85" w:rsidRPr="00DE7F0C" w:rsidRDefault="00046C85" w:rsidP="00115C18">
            <w:pPr>
              <w:pStyle w:val="Tabletext"/>
              <w:tabs>
                <w:tab w:val="decimal" w:pos="369"/>
              </w:tabs>
              <w:rPr>
                <w:rFonts w:eastAsia="Calibri"/>
              </w:rPr>
            </w:pPr>
          </w:p>
        </w:tc>
        <w:tc>
          <w:tcPr>
            <w:tcW w:w="992" w:type="dxa"/>
          </w:tcPr>
          <w:p w:rsidR="00046C85" w:rsidRPr="00431CB4" w:rsidRDefault="00046C85" w:rsidP="00115C18">
            <w:pPr>
              <w:pStyle w:val="Tabletext"/>
              <w:tabs>
                <w:tab w:val="decimal" w:pos="369"/>
              </w:tabs>
              <w:rPr>
                <w:rFonts w:eastAsia="Calibri"/>
              </w:rPr>
            </w:pPr>
          </w:p>
        </w:tc>
        <w:tc>
          <w:tcPr>
            <w:tcW w:w="993" w:type="dxa"/>
            <w:shd w:val="clear" w:color="auto" w:fill="auto"/>
          </w:tcPr>
          <w:p w:rsidR="00046C85" w:rsidRPr="00DE7F0C" w:rsidRDefault="00046C85" w:rsidP="00115C18">
            <w:pPr>
              <w:pStyle w:val="Tabletext"/>
              <w:tabs>
                <w:tab w:val="decimal" w:pos="312"/>
              </w:tabs>
              <w:rPr>
                <w:rFonts w:eastAsia="Calibri"/>
              </w:rPr>
            </w:pPr>
          </w:p>
        </w:tc>
      </w:tr>
      <w:tr w:rsidR="00DE7F0C" w:rsidRPr="008C7CA3" w:rsidTr="000C6446">
        <w:tc>
          <w:tcPr>
            <w:tcW w:w="2552" w:type="dxa"/>
            <w:shd w:val="clear" w:color="auto" w:fill="auto"/>
          </w:tcPr>
          <w:p w:rsidR="00DE7F0C" w:rsidRPr="00585B8F" w:rsidRDefault="00DE7F0C" w:rsidP="00115C18">
            <w:pPr>
              <w:pStyle w:val="Tabletext"/>
              <w:rPr>
                <w:rFonts w:eastAsia="Calibri"/>
              </w:rPr>
            </w:pPr>
            <w:r w:rsidRPr="00585B8F">
              <w:rPr>
                <w:rFonts w:eastAsia="Calibri"/>
              </w:rPr>
              <w:t>Family structure</w:t>
            </w:r>
          </w:p>
        </w:tc>
        <w:tc>
          <w:tcPr>
            <w:tcW w:w="2268" w:type="dxa"/>
            <w:shd w:val="clear" w:color="auto" w:fill="auto"/>
          </w:tcPr>
          <w:p w:rsidR="00DE7F0C" w:rsidRPr="00585B8F" w:rsidRDefault="00DE7F0C" w:rsidP="00115C18">
            <w:pPr>
              <w:pStyle w:val="Tabletext"/>
              <w:rPr>
                <w:rFonts w:eastAsia="Calibri"/>
              </w:rPr>
            </w:pPr>
            <w:r w:rsidRPr="00585B8F">
              <w:rPr>
                <w:rFonts w:eastAsia="Calibri"/>
              </w:rPr>
              <w:t>Non-nuclear family</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-0.0</w:t>
            </w:r>
            <w:r w:rsidR="00685722">
              <w:rPr>
                <w:rFonts w:eastAsia="Calibri"/>
              </w:rPr>
              <w:t>4</w:t>
            </w:r>
            <w:r w:rsidR="00FE3233" w:rsidRPr="00046C85">
              <w:rPr>
                <w:rFonts w:eastAsia="Calibri"/>
                <w:color w:val="FFFFFF" w:themeColor="background1"/>
              </w:rPr>
              <w:t>*</w:t>
            </w:r>
            <w:r w:rsidRPr="00DE7F0C">
              <w:rPr>
                <w:rFonts w:eastAsia="Calibri"/>
                <w:color w:val="FFFFFF" w:themeColor="background1"/>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w:t>
            </w:r>
            <w:r w:rsidR="00702448">
              <w:rPr>
                <w:rFonts w:eastAsia="Calibri"/>
              </w:rPr>
              <w:t>09</w:t>
            </w:r>
          </w:p>
        </w:tc>
        <w:tc>
          <w:tcPr>
            <w:tcW w:w="992" w:type="dxa"/>
          </w:tcPr>
          <w:p w:rsidR="00DE7F0C" w:rsidRPr="00431CB4" w:rsidRDefault="00DE7F0C" w:rsidP="00115C18">
            <w:pPr>
              <w:pStyle w:val="Tabletext"/>
              <w:tabs>
                <w:tab w:val="decimal" w:pos="369"/>
              </w:tabs>
              <w:rPr>
                <w:rFonts w:eastAsia="Calibri"/>
              </w:rPr>
            </w:pPr>
            <w:r w:rsidRPr="00431CB4">
              <w:rPr>
                <w:rFonts w:eastAsia="Calibri"/>
              </w:rPr>
              <w:t>0.9</w:t>
            </w:r>
            <w:r w:rsidR="00702448">
              <w:rPr>
                <w:rFonts w:eastAsia="Calibri"/>
              </w:rPr>
              <w:t>6</w:t>
            </w:r>
          </w:p>
        </w:tc>
        <w:tc>
          <w:tcPr>
            <w:tcW w:w="993" w:type="dxa"/>
            <w:shd w:val="clear" w:color="auto" w:fill="auto"/>
          </w:tcPr>
          <w:p w:rsidR="00DE7F0C" w:rsidRPr="00DE7F0C" w:rsidRDefault="00DE7F0C" w:rsidP="00115C18">
            <w:pPr>
              <w:pStyle w:val="Tabletext"/>
              <w:tabs>
                <w:tab w:val="decimal" w:pos="312"/>
              </w:tabs>
              <w:rPr>
                <w:rFonts w:eastAsia="Calibri"/>
              </w:rPr>
            </w:pPr>
            <w:r w:rsidRPr="00DE7F0C">
              <w:rPr>
                <w:rFonts w:eastAsia="Calibri"/>
              </w:rPr>
              <w:t>0.</w:t>
            </w:r>
            <w:r w:rsidR="00702448">
              <w:rPr>
                <w:rFonts w:eastAsia="Calibri"/>
              </w:rPr>
              <w:t>635</w:t>
            </w:r>
          </w:p>
        </w:tc>
      </w:tr>
      <w:tr w:rsidR="00046C85" w:rsidRPr="008C7CA3" w:rsidTr="000C6446">
        <w:tc>
          <w:tcPr>
            <w:tcW w:w="2552" w:type="dxa"/>
            <w:shd w:val="clear" w:color="auto" w:fill="auto"/>
          </w:tcPr>
          <w:p w:rsidR="00046C85" w:rsidRPr="00585B8F" w:rsidRDefault="00046C85" w:rsidP="00115C18">
            <w:pPr>
              <w:pStyle w:val="Tabletext"/>
              <w:rPr>
                <w:rFonts w:eastAsia="Calibri"/>
              </w:rPr>
            </w:pPr>
          </w:p>
        </w:tc>
        <w:tc>
          <w:tcPr>
            <w:tcW w:w="2268" w:type="dxa"/>
            <w:shd w:val="clear" w:color="auto" w:fill="auto"/>
          </w:tcPr>
          <w:p w:rsidR="00046C85" w:rsidRPr="00585B8F" w:rsidRDefault="00046C85" w:rsidP="00115C18">
            <w:pPr>
              <w:pStyle w:val="Tabletext"/>
              <w:rPr>
                <w:rFonts w:eastAsia="Calibri"/>
              </w:rPr>
            </w:pPr>
            <w:r>
              <w:rPr>
                <w:rFonts w:eastAsia="Calibri"/>
              </w:rPr>
              <w:t>Nuclear family [R]</w:t>
            </w:r>
          </w:p>
        </w:tc>
        <w:tc>
          <w:tcPr>
            <w:tcW w:w="992" w:type="dxa"/>
            <w:shd w:val="clear" w:color="auto" w:fill="auto"/>
          </w:tcPr>
          <w:p w:rsidR="00046C85" w:rsidRPr="00DE7F0C" w:rsidRDefault="00046C85" w:rsidP="00115C18">
            <w:pPr>
              <w:pStyle w:val="Tabletext"/>
              <w:tabs>
                <w:tab w:val="decimal" w:pos="284"/>
              </w:tabs>
              <w:rPr>
                <w:rFonts w:eastAsia="Calibri"/>
              </w:rPr>
            </w:pPr>
          </w:p>
        </w:tc>
        <w:tc>
          <w:tcPr>
            <w:tcW w:w="992" w:type="dxa"/>
            <w:shd w:val="clear" w:color="auto" w:fill="auto"/>
          </w:tcPr>
          <w:p w:rsidR="00046C85" w:rsidRPr="00DE7F0C" w:rsidRDefault="00046C85" w:rsidP="00115C18">
            <w:pPr>
              <w:pStyle w:val="Tabletext"/>
              <w:tabs>
                <w:tab w:val="decimal" w:pos="369"/>
              </w:tabs>
              <w:rPr>
                <w:rFonts w:eastAsia="Calibri"/>
              </w:rPr>
            </w:pPr>
          </w:p>
        </w:tc>
        <w:tc>
          <w:tcPr>
            <w:tcW w:w="992" w:type="dxa"/>
          </w:tcPr>
          <w:p w:rsidR="00046C85" w:rsidRPr="00431CB4" w:rsidRDefault="00046C85" w:rsidP="00115C18">
            <w:pPr>
              <w:pStyle w:val="Tabletext"/>
              <w:tabs>
                <w:tab w:val="decimal" w:pos="369"/>
              </w:tabs>
              <w:rPr>
                <w:rFonts w:eastAsia="Calibri"/>
              </w:rPr>
            </w:pPr>
          </w:p>
        </w:tc>
        <w:tc>
          <w:tcPr>
            <w:tcW w:w="993" w:type="dxa"/>
            <w:shd w:val="clear" w:color="auto" w:fill="auto"/>
          </w:tcPr>
          <w:p w:rsidR="00046C85" w:rsidRPr="00DE7F0C" w:rsidRDefault="00046C85" w:rsidP="00115C18">
            <w:pPr>
              <w:pStyle w:val="Tabletext"/>
              <w:tabs>
                <w:tab w:val="decimal" w:pos="312"/>
              </w:tabs>
              <w:rPr>
                <w:rFonts w:eastAsia="Calibri"/>
              </w:rPr>
            </w:pPr>
          </w:p>
        </w:tc>
      </w:tr>
      <w:tr w:rsidR="00DE7F0C" w:rsidRPr="008C7CA3" w:rsidTr="000C6446">
        <w:tc>
          <w:tcPr>
            <w:tcW w:w="2552" w:type="dxa"/>
            <w:shd w:val="clear" w:color="auto" w:fill="auto"/>
          </w:tcPr>
          <w:p w:rsidR="00DE7F0C" w:rsidRPr="00585B8F" w:rsidRDefault="00DE7F0C" w:rsidP="00115C18">
            <w:pPr>
              <w:pStyle w:val="Tabletext"/>
              <w:rPr>
                <w:rFonts w:eastAsia="Calibri"/>
              </w:rPr>
            </w:pPr>
            <w:r w:rsidRPr="00585B8F">
              <w:rPr>
                <w:rFonts w:eastAsia="Calibri"/>
              </w:rPr>
              <w:t>Immigration background</w:t>
            </w:r>
          </w:p>
        </w:tc>
        <w:tc>
          <w:tcPr>
            <w:tcW w:w="2268" w:type="dxa"/>
            <w:shd w:val="clear" w:color="auto" w:fill="auto"/>
          </w:tcPr>
          <w:p w:rsidR="00DE7F0C" w:rsidRPr="00585B8F" w:rsidRDefault="00DE7F0C" w:rsidP="00115C18">
            <w:pPr>
              <w:pStyle w:val="Tabletext"/>
              <w:rPr>
                <w:rFonts w:eastAsia="Calibri"/>
              </w:rPr>
            </w:pPr>
            <w:r w:rsidRPr="00585B8F">
              <w:rPr>
                <w:rFonts w:eastAsia="Calibri"/>
              </w:rPr>
              <w:t>First-generation students</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0.1</w:t>
            </w:r>
            <w:r w:rsidR="00685722">
              <w:rPr>
                <w:rFonts w:eastAsia="Calibri"/>
              </w:rPr>
              <w:t>5</w:t>
            </w:r>
            <w:r w:rsidR="00FE3233" w:rsidRPr="00046C85">
              <w:rPr>
                <w:rFonts w:eastAsia="Calibri"/>
                <w:color w:val="FFFFFF" w:themeColor="background1"/>
              </w:rPr>
              <w:t>*</w:t>
            </w:r>
            <w:r w:rsidRPr="006E7BD1">
              <w:rPr>
                <w:rFonts w:eastAsia="Calibri"/>
                <w:color w:val="FFFFFF" w:themeColor="background1"/>
              </w:rPr>
              <w:t>*</w:t>
            </w:r>
            <w:r w:rsidRPr="00DE7F0C">
              <w:rPr>
                <w:rFonts w:eastAsia="Calibri"/>
                <w:color w:val="FFFFFF" w:themeColor="background1"/>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0.0</w:t>
            </w:r>
            <w:r w:rsidR="00892979">
              <w:rPr>
                <w:rFonts w:eastAsia="Calibri"/>
              </w:rPr>
              <w:t>8</w:t>
            </w:r>
          </w:p>
        </w:tc>
        <w:tc>
          <w:tcPr>
            <w:tcW w:w="992" w:type="dxa"/>
          </w:tcPr>
          <w:p w:rsidR="00DE7F0C" w:rsidRPr="00431CB4" w:rsidRDefault="00DE7F0C" w:rsidP="00115C18">
            <w:pPr>
              <w:pStyle w:val="Tabletext"/>
              <w:tabs>
                <w:tab w:val="decimal" w:pos="369"/>
              </w:tabs>
              <w:rPr>
                <w:rFonts w:eastAsia="Calibri"/>
              </w:rPr>
            </w:pPr>
            <w:r w:rsidRPr="00431CB4">
              <w:rPr>
                <w:rFonts w:eastAsia="Calibri"/>
              </w:rPr>
              <w:t>1.1</w:t>
            </w:r>
            <w:r w:rsidR="00702448">
              <w:rPr>
                <w:rFonts w:eastAsia="Calibri"/>
              </w:rPr>
              <w:t>6</w:t>
            </w:r>
          </w:p>
        </w:tc>
        <w:tc>
          <w:tcPr>
            <w:tcW w:w="993" w:type="dxa"/>
            <w:shd w:val="clear" w:color="auto" w:fill="auto"/>
          </w:tcPr>
          <w:p w:rsidR="00DE7F0C" w:rsidRPr="00DE7F0C" w:rsidRDefault="00DE7F0C" w:rsidP="00115C18">
            <w:pPr>
              <w:pStyle w:val="Tabletext"/>
              <w:tabs>
                <w:tab w:val="decimal" w:pos="312"/>
              </w:tabs>
              <w:rPr>
                <w:rFonts w:eastAsia="Calibri"/>
              </w:rPr>
            </w:pPr>
            <w:r w:rsidRPr="00DE7F0C">
              <w:rPr>
                <w:rFonts w:eastAsia="Calibri"/>
              </w:rPr>
              <w:t>0.</w:t>
            </w:r>
            <w:r w:rsidR="00702448">
              <w:rPr>
                <w:rFonts w:eastAsia="Calibri"/>
              </w:rPr>
              <w:t>073</w:t>
            </w:r>
          </w:p>
        </w:tc>
      </w:tr>
      <w:tr w:rsidR="00DE7F0C" w:rsidRPr="008C7CA3" w:rsidTr="000C6446">
        <w:tc>
          <w:tcPr>
            <w:tcW w:w="2552" w:type="dxa"/>
            <w:shd w:val="clear" w:color="auto" w:fill="auto"/>
          </w:tcPr>
          <w:p w:rsidR="00DE7F0C" w:rsidRPr="00585B8F" w:rsidRDefault="00DE7F0C" w:rsidP="00115C18">
            <w:pPr>
              <w:pStyle w:val="Tabletext"/>
              <w:rPr>
                <w:rFonts w:eastAsia="Calibri"/>
              </w:rPr>
            </w:pPr>
          </w:p>
        </w:tc>
        <w:tc>
          <w:tcPr>
            <w:tcW w:w="2268" w:type="dxa"/>
            <w:shd w:val="clear" w:color="auto" w:fill="auto"/>
          </w:tcPr>
          <w:p w:rsidR="00DE7F0C" w:rsidRPr="00585B8F" w:rsidRDefault="00DE7F0C" w:rsidP="00115C18">
            <w:pPr>
              <w:pStyle w:val="Tabletext"/>
              <w:rPr>
                <w:rFonts w:eastAsia="Calibri"/>
              </w:rPr>
            </w:pPr>
            <w:r w:rsidRPr="00585B8F">
              <w:rPr>
                <w:rFonts w:eastAsia="Calibri"/>
              </w:rPr>
              <w:t>Foreign-born students</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0.</w:t>
            </w:r>
            <w:r w:rsidR="00685722">
              <w:rPr>
                <w:rFonts w:eastAsia="Calibri"/>
              </w:rPr>
              <w:t>47</w:t>
            </w:r>
            <w:r>
              <w:rPr>
                <w:rFonts w:eastAsia="Calibri"/>
              </w:rPr>
              <w:t>**</w:t>
            </w:r>
            <w:r w:rsidR="00DE6371">
              <w:rPr>
                <w:rFonts w:eastAsia="Calibri"/>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0.1</w:t>
            </w:r>
            <w:r w:rsidR="00702448">
              <w:rPr>
                <w:rFonts w:eastAsia="Calibri"/>
              </w:rPr>
              <w:t>2</w:t>
            </w:r>
          </w:p>
        </w:tc>
        <w:tc>
          <w:tcPr>
            <w:tcW w:w="992" w:type="dxa"/>
          </w:tcPr>
          <w:p w:rsidR="00DE7F0C" w:rsidRPr="00431CB4" w:rsidRDefault="00DE7F0C" w:rsidP="00115C18">
            <w:pPr>
              <w:pStyle w:val="Tabletext"/>
              <w:tabs>
                <w:tab w:val="decimal" w:pos="369"/>
              </w:tabs>
              <w:rPr>
                <w:rFonts w:eastAsia="Calibri"/>
              </w:rPr>
            </w:pPr>
            <w:r w:rsidRPr="00431CB4">
              <w:rPr>
                <w:rFonts w:eastAsia="Calibri"/>
              </w:rPr>
              <w:t>1.</w:t>
            </w:r>
            <w:r w:rsidR="00702448">
              <w:rPr>
                <w:rFonts w:eastAsia="Calibri"/>
              </w:rPr>
              <w:t>61</w:t>
            </w:r>
          </w:p>
        </w:tc>
        <w:tc>
          <w:tcPr>
            <w:tcW w:w="993" w:type="dxa"/>
            <w:shd w:val="clear" w:color="auto" w:fill="auto"/>
          </w:tcPr>
          <w:p w:rsidR="00DE7F0C" w:rsidRPr="00DE7F0C" w:rsidRDefault="00AF2E9E" w:rsidP="00115C18">
            <w:pPr>
              <w:pStyle w:val="Tabletext"/>
              <w:tabs>
                <w:tab w:val="decimal" w:pos="312"/>
              </w:tabs>
              <w:rPr>
                <w:rFonts w:eastAsia="Calibri"/>
              </w:rPr>
            </w:pPr>
            <w:r>
              <w:rPr>
                <w:rFonts w:eastAsia="Calibri"/>
              </w:rPr>
              <w:t>&lt;.00</w:t>
            </w:r>
            <w:r w:rsidR="00DE7F0C" w:rsidRPr="00DE7F0C">
              <w:rPr>
                <w:rFonts w:eastAsia="Calibri"/>
              </w:rPr>
              <w:t>1</w:t>
            </w:r>
          </w:p>
        </w:tc>
      </w:tr>
      <w:tr w:rsidR="00046C85" w:rsidRPr="008C7CA3" w:rsidTr="000C6446">
        <w:tc>
          <w:tcPr>
            <w:tcW w:w="2552" w:type="dxa"/>
            <w:shd w:val="clear" w:color="auto" w:fill="auto"/>
          </w:tcPr>
          <w:p w:rsidR="00046C85" w:rsidRPr="00585B8F" w:rsidRDefault="00046C85" w:rsidP="00115C18">
            <w:pPr>
              <w:pStyle w:val="Tabletext"/>
              <w:rPr>
                <w:rFonts w:eastAsia="Calibri"/>
              </w:rPr>
            </w:pPr>
          </w:p>
        </w:tc>
        <w:tc>
          <w:tcPr>
            <w:tcW w:w="2268" w:type="dxa"/>
            <w:shd w:val="clear" w:color="auto" w:fill="auto"/>
          </w:tcPr>
          <w:p w:rsidR="00046C85" w:rsidRPr="00585B8F" w:rsidRDefault="00046C85" w:rsidP="00115C18">
            <w:pPr>
              <w:pStyle w:val="Tabletext"/>
              <w:rPr>
                <w:rFonts w:eastAsia="Calibri"/>
              </w:rPr>
            </w:pPr>
            <w:r>
              <w:rPr>
                <w:rFonts w:eastAsia="Calibri"/>
              </w:rPr>
              <w:t>Australian-born students [R]</w:t>
            </w:r>
          </w:p>
        </w:tc>
        <w:tc>
          <w:tcPr>
            <w:tcW w:w="992" w:type="dxa"/>
            <w:shd w:val="clear" w:color="auto" w:fill="auto"/>
          </w:tcPr>
          <w:p w:rsidR="00046C85" w:rsidRPr="00DE7F0C" w:rsidRDefault="00046C85" w:rsidP="00115C18">
            <w:pPr>
              <w:pStyle w:val="Tabletext"/>
              <w:tabs>
                <w:tab w:val="decimal" w:pos="284"/>
              </w:tabs>
              <w:rPr>
                <w:rFonts w:eastAsia="Calibri"/>
              </w:rPr>
            </w:pPr>
          </w:p>
        </w:tc>
        <w:tc>
          <w:tcPr>
            <w:tcW w:w="992" w:type="dxa"/>
            <w:shd w:val="clear" w:color="auto" w:fill="auto"/>
          </w:tcPr>
          <w:p w:rsidR="00046C85" w:rsidRPr="00DE7F0C" w:rsidRDefault="00046C85" w:rsidP="00115C18">
            <w:pPr>
              <w:pStyle w:val="Tabletext"/>
              <w:tabs>
                <w:tab w:val="decimal" w:pos="369"/>
              </w:tabs>
              <w:rPr>
                <w:rFonts w:eastAsia="Calibri"/>
              </w:rPr>
            </w:pPr>
          </w:p>
        </w:tc>
        <w:tc>
          <w:tcPr>
            <w:tcW w:w="992" w:type="dxa"/>
          </w:tcPr>
          <w:p w:rsidR="00046C85" w:rsidRPr="00431CB4" w:rsidRDefault="00046C85" w:rsidP="00115C18">
            <w:pPr>
              <w:pStyle w:val="Tabletext"/>
              <w:tabs>
                <w:tab w:val="decimal" w:pos="369"/>
              </w:tabs>
              <w:rPr>
                <w:rFonts w:eastAsia="Calibri"/>
              </w:rPr>
            </w:pPr>
          </w:p>
        </w:tc>
        <w:tc>
          <w:tcPr>
            <w:tcW w:w="993" w:type="dxa"/>
            <w:shd w:val="clear" w:color="auto" w:fill="auto"/>
          </w:tcPr>
          <w:p w:rsidR="00046C85" w:rsidRPr="00DE7F0C" w:rsidRDefault="00046C85" w:rsidP="00115C18">
            <w:pPr>
              <w:pStyle w:val="Tabletext"/>
              <w:tabs>
                <w:tab w:val="decimal" w:pos="312"/>
              </w:tabs>
              <w:rPr>
                <w:rFonts w:eastAsia="Calibri"/>
              </w:rPr>
            </w:pPr>
          </w:p>
        </w:tc>
      </w:tr>
      <w:tr w:rsidR="00DE7F0C" w:rsidRPr="008C7CA3" w:rsidTr="000C6446">
        <w:tc>
          <w:tcPr>
            <w:tcW w:w="2552" w:type="dxa"/>
            <w:shd w:val="clear" w:color="auto" w:fill="auto"/>
          </w:tcPr>
          <w:p w:rsidR="00DE7F0C" w:rsidRPr="00585B8F" w:rsidRDefault="00DE7F0C" w:rsidP="00115C18">
            <w:pPr>
              <w:pStyle w:val="Tabletext"/>
              <w:rPr>
                <w:rFonts w:eastAsia="Calibri"/>
              </w:rPr>
            </w:pPr>
            <w:r w:rsidRPr="00585B8F">
              <w:rPr>
                <w:rFonts w:eastAsia="Calibri"/>
              </w:rPr>
              <w:t>SES</w:t>
            </w:r>
          </w:p>
        </w:tc>
        <w:tc>
          <w:tcPr>
            <w:tcW w:w="2268" w:type="dxa"/>
            <w:shd w:val="clear" w:color="auto" w:fill="auto"/>
          </w:tcPr>
          <w:p w:rsidR="00DE7F0C" w:rsidRPr="00585B8F" w:rsidRDefault="00542066" w:rsidP="00115C18">
            <w:pPr>
              <w:pStyle w:val="Tabletext"/>
              <w:rPr>
                <w:rFonts w:eastAsia="Calibri"/>
              </w:rPr>
            </w:pPr>
            <w:r>
              <w:rPr>
                <w:rFonts w:eastAsia="Calibri"/>
              </w:rPr>
              <w:t>C</w:t>
            </w:r>
            <w:r w:rsidR="00AF2E9E">
              <w:rPr>
                <w:rFonts w:eastAsia="Calibri"/>
              </w:rPr>
              <w:t>ontinuous</w:t>
            </w:r>
            <w:r>
              <w:rPr>
                <w:rFonts w:eastAsia="Calibri"/>
              </w:rPr>
              <w:t xml:space="preserve"> (std)</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0.</w:t>
            </w:r>
            <w:r w:rsidR="00685722">
              <w:rPr>
                <w:rFonts w:eastAsia="Calibri"/>
              </w:rPr>
              <w:t>0</w:t>
            </w:r>
            <w:r w:rsidR="002468D0">
              <w:rPr>
                <w:rFonts w:eastAsia="Calibri"/>
              </w:rPr>
              <w:t>7</w:t>
            </w:r>
            <w:r w:rsidR="00FE3233" w:rsidRPr="00046C85">
              <w:rPr>
                <w:rFonts w:eastAsia="Calibri"/>
                <w:color w:val="FFFFFF" w:themeColor="background1"/>
              </w:rPr>
              <w:t>*</w:t>
            </w:r>
            <w:r w:rsidRPr="006E7BD1">
              <w:rPr>
                <w:rFonts w:eastAsia="Calibri"/>
                <w:color w:val="FFFFFF" w:themeColor="background1"/>
              </w:rPr>
              <w:t>*</w:t>
            </w:r>
            <w:r w:rsidRPr="00DE7F0C">
              <w:rPr>
                <w:rFonts w:eastAsia="Calibri"/>
                <w:color w:val="FFFFFF" w:themeColor="background1"/>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0.0</w:t>
            </w:r>
            <w:r w:rsidR="002468D0">
              <w:rPr>
                <w:rFonts w:eastAsia="Calibri"/>
              </w:rPr>
              <w:t>4</w:t>
            </w:r>
          </w:p>
        </w:tc>
        <w:tc>
          <w:tcPr>
            <w:tcW w:w="992" w:type="dxa"/>
          </w:tcPr>
          <w:p w:rsidR="00DE7F0C" w:rsidRPr="00431CB4" w:rsidRDefault="00DE7F0C" w:rsidP="00115C18">
            <w:pPr>
              <w:pStyle w:val="Tabletext"/>
              <w:tabs>
                <w:tab w:val="decimal" w:pos="369"/>
              </w:tabs>
              <w:rPr>
                <w:rFonts w:eastAsia="Calibri"/>
              </w:rPr>
            </w:pPr>
            <w:r w:rsidRPr="00431CB4">
              <w:rPr>
                <w:rFonts w:eastAsia="Calibri"/>
              </w:rPr>
              <w:t>1.</w:t>
            </w:r>
            <w:r w:rsidR="002468D0">
              <w:rPr>
                <w:rFonts w:eastAsia="Calibri"/>
              </w:rPr>
              <w:t>07</w:t>
            </w:r>
          </w:p>
        </w:tc>
        <w:tc>
          <w:tcPr>
            <w:tcW w:w="993" w:type="dxa"/>
            <w:shd w:val="clear" w:color="auto" w:fill="auto"/>
          </w:tcPr>
          <w:p w:rsidR="00DE7F0C" w:rsidRPr="00DE7F0C" w:rsidRDefault="00DE7F0C" w:rsidP="00115C18">
            <w:pPr>
              <w:pStyle w:val="Tabletext"/>
              <w:tabs>
                <w:tab w:val="decimal" w:pos="312"/>
              </w:tabs>
              <w:rPr>
                <w:rFonts w:eastAsia="Calibri"/>
              </w:rPr>
            </w:pPr>
            <w:r w:rsidRPr="00DE7F0C">
              <w:rPr>
                <w:rFonts w:eastAsia="Calibri"/>
              </w:rPr>
              <w:t>0.0</w:t>
            </w:r>
            <w:r w:rsidR="00702448">
              <w:rPr>
                <w:rFonts w:eastAsia="Calibri"/>
              </w:rPr>
              <w:t>55</w:t>
            </w:r>
          </w:p>
        </w:tc>
      </w:tr>
      <w:tr w:rsidR="00DE7F0C" w:rsidRPr="008C7CA3" w:rsidTr="000C6446">
        <w:tc>
          <w:tcPr>
            <w:tcW w:w="2552" w:type="dxa"/>
            <w:shd w:val="clear" w:color="auto" w:fill="auto"/>
          </w:tcPr>
          <w:p w:rsidR="00DE7F0C" w:rsidRPr="00585B8F" w:rsidRDefault="00DE7F0C" w:rsidP="00115C18">
            <w:pPr>
              <w:pStyle w:val="Tabletext"/>
              <w:rPr>
                <w:rFonts w:eastAsia="Calibri"/>
              </w:rPr>
            </w:pPr>
            <w:r w:rsidRPr="00585B8F">
              <w:rPr>
                <w:rFonts w:eastAsia="Calibri"/>
              </w:rPr>
              <w:t>Attitudes to school</w:t>
            </w:r>
          </w:p>
        </w:tc>
        <w:tc>
          <w:tcPr>
            <w:tcW w:w="2268" w:type="dxa"/>
            <w:shd w:val="clear" w:color="auto" w:fill="auto"/>
          </w:tcPr>
          <w:p w:rsidR="00DE7F0C" w:rsidRPr="00585B8F" w:rsidRDefault="00542066" w:rsidP="00115C18">
            <w:pPr>
              <w:pStyle w:val="Tabletext"/>
              <w:rPr>
                <w:rFonts w:eastAsia="Calibri"/>
              </w:rPr>
            </w:pPr>
            <w:r>
              <w:rPr>
                <w:rFonts w:eastAsia="Calibri"/>
              </w:rPr>
              <w:t>C</w:t>
            </w:r>
            <w:r w:rsidR="00AF2E9E">
              <w:rPr>
                <w:rFonts w:eastAsia="Calibri"/>
              </w:rPr>
              <w:t>ontinuous</w:t>
            </w:r>
            <w:r>
              <w:rPr>
                <w:rFonts w:eastAsia="Calibri"/>
              </w:rPr>
              <w:t xml:space="preserve"> (std)</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0.</w:t>
            </w:r>
            <w:r w:rsidR="00685722">
              <w:rPr>
                <w:rFonts w:eastAsia="Calibri"/>
              </w:rPr>
              <w:t>18</w:t>
            </w:r>
            <w:r>
              <w:rPr>
                <w:rFonts w:eastAsia="Calibri"/>
              </w:rPr>
              <w:t>**</w:t>
            </w:r>
            <w:r w:rsidR="00DE6371">
              <w:rPr>
                <w:rFonts w:eastAsia="Calibri"/>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0.04</w:t>
            </w:r>
          </w:p>
        </w:tc>
        <w:tc>
          <w:tcPr>
            <w:tcW w:w="992" w:type="dxa"/>
          </w:tcPr>
          <w:p w:rsidR="00DE7F0C" w:rsidRPr="00431CB4" w:rsidRDefault="00DE7F0C" w:rsidP="00115C18">
            <w:pPr>
              <w:pStyle w:val="Tabletext"/>
              <w:tabs>
                <w:tab w:val="decimal" w:pos="369"/>
              </w:tabs>
              <w:rPr>
                <w:rFonts w:eastAsia="Calibri"/>
              </w:rPr>
            </w:pPr>
            <w:r w:rsidRPr="00431CB4">
              <w:rPr>
                <w:rFonts w:eastAsia="Calibri"/>
              </w:rPr>
              <w:t>1.2</w:t>
            </w:r>
            <w:r w:rsidR="00702448">
              <w:rPr>
                <w:rFonts w:eastAsia="Calibri"/>
              </w:rPr>
              <w:t>0</w:t>
            </w:r>
          </w:p>
        </w:tc>
        <w:tc>
          <w:tcPr>
            <w:tcW w:w="993" w:type="dxa"/>
            <w:shd w:val="clear" w:color="auto" w:fill="auto"/>
          </w:tcPr>
          <w:p w:rsidR="00DE7F0C" w:rsidRPr="00DE7F0C" w:rsidRDefault="00AF2E9E" w:rsidP="00115C18">
            <w:pPr>
              <w:pStyle w:val="Tabletext"/>
              <w:tabs>
                <w:tab w:val="decimal" w:pos="312"/>
              </w:tabs>
              <w:rPr>
                <w:rFonts w:eastAsia="Calibri"/>
              </w:rPr>
            </w:pPr>
            <w:r>
              <w:rPr>
                <w:rFonts w:eastAsia="Calibri"/>
              </w:rPr>
              <w:t>&lt;.00</w:t>
            </w:r>
            <w:r w:rsidR="00DE7F0C" w:rsidRPr="00DE7F0C">
              <w:rPr>
                <w:rFonts w:eastAsia="Calibri"/>
              </w:rPr>
              <w:t>1</w:t>
            </w:r>
          </w:p>
        </w:tc>
      </w:tr>
      <w:tr w:rsidR="00DE7F0C" w:rsidRPr="008C7CA3" w:rsidTr="000C6446">
        <w:tc>
          <w:tcPr>
            <w:tcW w:w="2552" w:type="dxa"/>
            <w:shd w:val="clear" w:color="auto" w:fill="auto"/>
          </w:tcPr>
          <w:p w:rsidR="00DE7F0C" w:rsidRPr="00585B8F" w:rsidRDefault="00DE7F0C" w:rsidP="00115C18">
            <w:pPr>
              <w:pStyle w:val="Tabletext"/>
              <w:rPr>
                <w:rFonts w:eastAsia="Calibri"/>
              </w:rPr>
            </w:pPr>
            <w:r w:rsidRPr="00585B8F">
              <w:rPr>
                <w:rFonts w:eastAsia="Calibri"/>
              </w:rPr>
              <w:t>Teacher quality</w:t>
            </w:r>
          </w:p>
        </w:tc>
        <w:tc>
          <w:tcPr>
            <w:tcW w:w="2268" w:type="dxa"/>
            <w:shd w:val="clear" w:color="auto" w:fill="auto"/>
          </w:tcPr>
          <w:p w:rsidR="00DE7F0C" w:rsidRPr="00585B8F" w:rsidRDefault="00542066" w:rsidP="00115C18">
            <w:pPr>
              <w:pStyle w:val="Tabletext"/>
              <w:rPr>
                <w:rFonts w:eastAsia="Calibri"/>
              </w:rPr>
            </w:pPr>
            <w:r>
              <w:rPr>
                <w:rFonts w:eastAsia="Calibri"/>
              </w:rPr>
              <w:t>C</w:t>
            </w:r>
            <w:r w:rsidR="00AF2E9E">
              <w:rPr>
                <w:rFonts w:eastAsia="Calibri"/>
              </w:rPr>
              <w:t>ontinuous</w:t>
            </w:r>
            <w:r>
              <w:rPr>
                <w:rFonts w:eastAsia="Calibri"/>
              </w:rPr>
              <w:t xml:space="preserve"> (std)</w:t>
            </w:r>
          </w:p>
        </w:tc>
        <w:tc>
          <w:tcPr>
            <w:tcW w:w="992" w:type="dxa"/>
            <w:shd w:val="clear" w:color="auto" w:fill="auto"/>
          </w:tcPr>
          <w:p w:rsidR="00DE7F0C" w:rsidRPr="00DE7F0C" w:rsidRDefault="00892979" w:rsidP="00115C18">
            <w:pPr>
              <w:pStyle w:val="Tabletext"/>
              <w:tabs>
                <w:tab w:val="decimal" w:pos="284"/>
              </w:tabs>
              <w:rPr>
                <w:rFonts w:eastAsia="Calibri"/>
              </w:rPr>
            </w:pPr>
            <w:r>
              <w:rPr>
                <w:rFonts w:eastAsia="Calibri"/>
              </w:rPr>
              <w:t>0.0</w:t>
            </w:r>
            <w:r w:rsidR="00685722">
              <w:rPr>
                <w:rFonts w:eastAsia="Calibri"/>
              </w:rPr>
              <w:t>4</w:t>
            </w:r>
            <w:r w:rsidR="00FE3233" w:rsidRPr="00046C85">
              <w:rPr>
                <w:rFonts w:eastAsia="Calibri"/>
                <w:color w:val="FFFFFF" w:themeColor="background1"/>
              </w:rPr>
              <w:t>*</w:t>
            </w:r>
            <w:r w:rsidR="00DE7F0C" w:rsidRPr="00DE7F0C">
              <w:rPr>
                <w:rFonts w:eastAsia="Calibri"/>
                <w:color w:val="FFFFFF" w:themeColor="background1"/>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0.04</w:t>
            </w:r>
          </w:p>
        </w:tc>
        <w:tc>
          <w:tcPr>
            <w:tcW w:w="992" w:type="dxa"/>
          </w:tcPr>
          <w:p w:rsidR="00DE7F0C" w:rsidRPr="00431CB4" w:rsidRDefault="00892979" w:rsidP="00115C18">
            <w:pPr>
              <w:pStyle w:val="Tabletext"/>
              <w:tabs>
                <w:tab w:val="decimal" w:pos="369"/>
              </w:tabs>
              <w:rPr>
                <w:rFonts w:eastAsia="Calibri"/>
              </w:rPr>
            </w:pPr>
            <w:r w:rsidRPr="00431CB4">
              <w:rPr>
                <w:rFonts w:eastAsia="Calibri"/>
              </w:rPr>
              <w:t>1.0</w:t>
            </w:r>
            <w:r w:rsidR="00702448">
              <w:rPr>
                <w:rFonts w:eastAsia="Calibri"/>
              </w:rPr>
              <w:t>4</w:t>
            </w:r>
          </w:p>
        </w:tc>
        <w:tc>
          <w:tcPr>
            <w:tcW w:w="993" w:type="dxa"/>
            <w:shd w:val="clear" w:color="auto" w:fill="auto"/>
          </w:tcPr>
          <w:p w:rsidR="00DE7F0C" w:rsidRPr="00DE7F0C" w:rsidRDefault="002468D0" w:rsidP="00115C18">
            <w:pPr>
              <w:pStyle w:val="Tabletext"/>
              <w:tabs>
                <w:tab w:val="decimal" w:pos="312"/>
              </w:tabs>
              <w:rPr>
                <w:rFonts w:eastAsia="Calibri"/>
              </w:rPr>
            </w:pPr>
            <w:r>
              <w:rPr>
                <w:rFonts w:eastAsia="Calibri"/>
              </w:rPr>
              <w:t>0.</w:t>
            </w:r>
            <w:r w:rsidR="00702448">
              <w:rPr>
                <w:rFonts w:eastAsia="Calibri"/>
              </w:rPr>
              <w:t>330</w:t>
            </w:r>
          </w:p>
        </w:tc>
      </w:tr>
      <w:tr w:rsidR="00DE7F0C" w:rsidRPr="008C7CA3" w:rsidTr="000C6446">
        <w:tc>
          <w:tcPr>
            <w:tcW w:w="2552" w:type="dxa"/>
            <w:shd w:val="clear" w:color="auto" w:fill="auto"/>
          </w:tcPr>
          <w:p w:rsidR="00DE7F0C" w:rsidRPr="00585B8F" w:rsidRDefault="00DE7F0C" w:rsidP="00A721FC">
            <w:pPr>
              <w:pStyle w:val="Tabletext"/>
              <w:rPr>
                <w:rFonts w:eastAsia="Calibri"/>
              </w:rPr>
            </w:pPr>
            <w:r w:rsidRPr="00585B8F">
              <w:rPr>
                <w:rFonts w:eastAsia="Calibri"/>
              </w:rPr>
              <w:t>Teacher</w:t>
            </w:r>
            <w:r w:rsidR="00A721FC">
              <w:rPr>
                <w:rFonts w:eastAsia="Calibri"/>
              </w:rPr>
              <w:t>–</w:t>
            </w:r>
            <w:r w:rsidRPr="00585B8F">
              <w:rPr>
                <w:rFonts w:eastAsia="Calibri"/>
              </w:rPr>
              <w:t>student relations</w:t>
            </w:r>
          </w:p>
        </w:tc>
        <w:tc>
          <w:tcPr>
            <w:tcW w:w="2268" w:type="dxa"/>
            <w:shd w:val="clear" w:color="auto" w:fill="auto"/>
          </w:tcPr>
          <w:p w:rsidR="00DE7F0C" w:rsidRPr="00585B8F" w:rsidRDefault="00542066" w:rsidP="00115C18">
            <w:pPr>
              <w:pStyle w:val="Tabletext"/>
              <w:rPr>
                <w:rFonts w:eastAsia="Calibri"/>
              </w:rPr>
            </w:pPr>
            <w:r>
              <w:rPr>
                <w:rFonts w:eastAsia="Calibri"/>
              </w:rPr>
              <w:t>C</w:t>
            </w:r>
            <w:r w:rsidR="00AF2E9E">
              <w:rPr>
                <w:rFonts w:eastAsia="Calibri"/>
              </w:rPr>
              <w:t>ontinuous</w:t>
            </w:r>
            <w:r>
              <w:rPr>
                <w:rFonts w:eastAsia="Calibri"/>
              </w:rPr>
              <w:t xml:space="preserve"> (std)</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0.1</w:t>
            </w:r>
            <w:r w:rsidR="00685722">
              <w:rPr>
                <w:rFonts w:eastAsia="Calibri"/>
              </w:rPr>
              <w:t>4</w:t>
            </w:r>
            <w:r>
              <w:rPr>
                <w:rFonts w:eastAsia="Calibri"/>
              </w:rPr>
              <w:t>**</w:t>
            </w:r>
            <w:r w:rsidR="00DE6371">
              <w:rPr>
                <w:rFonts w:eastAsia="Calibri"/>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0.0</w:t>
            </w:r>
            <w:r w:rsidR="00685722">
              <w:rPr>
                <w:rFonts w:eastAsia="Calibri"/>
              </w:rPr>
              <w:t>4</w:t>
            </w:r>
          </w:p>
        </w:tc>
        <w:tc>
          <w:tcPr>
            <w:tcW w:w="992" w:type="dxa"/>
          </w:tcPr>
          <w:p w:rsidR="00DE7F0C" w:rsidRPr="00431CB4" w:rsidRDefault="00DE7F0C" w:rsidP="00115C18">
            <w:pPr>
              <w:pStyle w:val="Tabletext"/>
              <w:tabs>
                <w:tab w:val="decimal" w:pos="369"/>
              </w:tabs>
              <w:rPr>
                <w:rFonts w:eastAsia="Calibri"/>
              </w:rPr>
            </w:pPr>
            <w:r w:rsidRPr="00431CB4">
              <w:rPr>
                <w:rFonts w:eastAsia="Calibri"/>
              </w:rPr>
              <w:t>1.1</w:t>
            </w:r>
            <w:r w:rsidR="00702448">
              <w:rPr>
                <w:rFonts w:eastAsia="Calibri"/>
              </w:rPr>
              <w:t>5</w:t>
            </w:r>
          </w:p>
        </w:tc>
        <w:tc>
          <w:tcPr>
            <w:tcW w:w="993" w:type="dxa"/>
            <w:shd w:val="clear" w:color="auto" w:fill="auto"/>
          </w:tcPr>
          <w:p w:rsidR="00DE7F0C" w:rsidRPr="00DE7F0C" w:rsidRDefault="00AF2E9E" w:rsidP="00115C18">
            <w:pPr>
              <w:pStyle w:val="Tabletext"/>
              <w:tabs>
                <w:tab w:val="decimal" w:pos="312"/>
              </w:tabs>
              <w:rPr>
                <w:rFonts w:eastAsia="Calibri"/>
              </w:rPr>
            </w:pPr>
            <w:r>
              <w:rPr>
                <w:rFonts w:eastAsia="Calibri"/>
              </w:rPr>
              <w:t>0.00</w:t>
            </w:r>
            <w:r w:rsidR="00702448">
              <w:rPr>
                <w:rFonts w:eastAsia="Calibri"/>
              </w:rPr>
              <w:t>1</w:t>
            </w:r>
          </w:p>
        </w:tc>
      </w:tr>
      <w:tr w:rsidR="00DE7F0C" w:rsidRPr="008C7CA3" w:rsidTr="000C6446">
        <w:tc>
          <w:tcPr>
            <w:tcW w:w="2552" w:type="dxa"/>
            <w:shd w:val="clear" w:color="auto" w:fill="auto"/>
          </w:tcPr>
          <w:p w:rsidR="00DE7F0C" w:rsidRPr="00585B8F" w:rsidRDefault="00DE7F0C" w:rsidP="00115C18">
            <w:pPr>
              <w:pStyle w:val="Tabletext"/>
              <w:rPr>
                <w:rFonts w:eastAsia="Calibri"/>
              </w:rPr>
            </w:pPr>
            <w:r w:rsidRPr="00585B8F">
              <w:rPr>
                <w:rFonts w:eastAsia="Calibri"/>
              </w:rPr>
              <w:t>Disciplinary climate</w:t>
            </w:r>
          </w:p>
        </w:tc>
        <w:tc>
          <w:tcPr>
            <w:tcW w:w="2268" w:type="dxa"/>
            <w:shd w:val="clear" w:color="auto" w:fill="auto"/>
          </w:tcPr>
          <w:p w:rsidR="00DE7F0C" w:rsidRPr="00585B8F" w:rsidRDefault="00542066" w:rsidP="00115C18">
            <w:pPr>
              <w:pStyle w:val="Tabletext"/>
              <w:rPr>
                <w:rFonts w:eastAsia="Calibri"/>
              </w:rPr>
            </w:pPr>
            <w:r>
              <w:rPr>
                <w:rFonts w:eastAsia="Calibri"/>
              </w:rPr>
              <w:t>C</w:t>
            </w:r>
            <w:r w:rsidR="00AF2E9E">
              <w:rPr>
                <w:rFonts w:eastAsia="Calibri"/>
              </w:rPr>
              <w:t>ontinuous</w:t>
            </w:r>
            <w:r>
              <w:rPr>
                <w:rFonts w:eastAsia="Calibri"/>
              </w:rPr>
              <w:t xml:space="preserve"> (std)</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-0.0</w:t>
            </w:r>
            <w:r w:rsidR="00685722">
              <w:rPr>
                <w:rFonts w:eastAsia="Calibri"/>
              </w:rPr>
              <w:t>6</w:t>
            </w:r>
            <w:r w:rsidR="00FE3233" w:rsidRPr="00046C85">
              <w:rPr>
                <w:rFonts w:eastAsia="Calibri"/>
                <w:color w:val="FFFFFF" w:themeColor="background1"/>
              </w:rPr>
              <w:t>*</w:t>
            </w:r>
            <w:r w:rsidRPr="00DE7F0C">
              <w:rPr>
                <w:rFonts w:eastAsia="Calibri"/>
                <w:color w:val="FFFFFF" w:themeColor="background1"/>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0.04</w:t>
            </w:r>
          </w:p>
        </w:tc>
        <w:tc>
          <w:tcPr>
            <w:tcW w:w="992" w:type="dxa"/>
          </w:tcPr>
          <w:p w:rsidR="00DE7F0C" w:rsidRPr="00431CB4" w:rsidRDefault="00DE7F0C" w:rsidP="00115C18">
            <w:pPr>
              <w:pStyle w:val="Tabletext"/>
              <w:tabs>
                <w:tab w:val="decimal" w:pos="369"/>
              </w:tabs>
              <w:rPr>
                <w:rFonts w:eastAsia="Calibri"/>
              </w:rPr>
            </w:pPr>
            <w:r w:rsidRPr="00431CB4">
              <w:rPr>
                <w:rFonts w:eastAsia="Calibri"/>
              </w:rPr>
              <w:t>0.9</w:t>
            </w:r>
            <w:r w:rsidR="00702448">
              <w:rPr>
                <w:rFonts w:eastAsia="Calibri"/>
              </w:rPr>
              <w:t>4</w:t>
            </w:r>
          </w:p>
        </w:tc>
        <w:tc>
          <w:tcPr>
            <w:tcW w:w="993" w:type="dxa"/>
            <w:shd w:val="clear" w:color="auto" w:fill="auto"/>
          </w:tcPr>
          <w:p w:rsidR="00DE7F0C" w:rsidRPr="00DE7F0C" w:rsidRDefault="00DE7F0C" w:rsidP="00115C18">
            <w:pPr>
              <w:pStyle w:val="Tabletext"/>
              <w:tabs>
                <w:tab w:val="decimal" w:pos="312"/>
              </w:tabs>
              <w:rPr>
                <w:rFonts w:eastAsia="Calibri"/>
              </w:rPr>
            </w:pPr>
            <w:r w:rsidRPr="00DE7F0C">
              <w:rPr>
                <w:rFonts w:eastAsia="Calibri"/>
              </w:rPr>
              <w:t>0.</w:t>
            </w:r>
            <w:r w:rsidR="00702448">
              <w:rPr>
                <w:rFonts w:eastAsia="Calibri"/>
              </w:rPr>
              <w:t>140</w:t>
            </w:r>
          </w:p>
        </w:tc>
      </w:tr>
      <w:tr w:rsidR="00DE7F0C" w:rsidRPr="001008C8" w:rsidTr="000C6446">
        <w:tc>
          <w:tcPr>
            <w:tcW w:w="2552" w:type="dxa"/>
            <w:shd w:val="clear" w:color="auto" w:fill="auto"/>
          </w:tcPr>
          <w:p w:rsidR="00DE7F0C" w:rsidRPr="009F66FE" w:rsidRDefault="00DE7F0C" w:rsidP="00115C18">
            <w:pPr>
              <w:pStyle w:val="Tabletext"/>
              <w:rPr>
                <w:rFonts w:eastAsia="Calibri"/>
              </w:rPr>
            </w:pPr>
            <w:r w:rsidRPr="009F66FE">
              <w:rPr>
                <w:rFonts w:eastAsia="Calibri"/>
              </w:rPr>
              <w:t xml:space="preserve">Academic </w:t>
            </w:r>
            <w:r w:rsidR="00277EAB">
              <w:rPr>
                <w:rFonts w:eastAsia="Calibri"/>
              </w:rPr>
              <w:t>performance</w:t>
            </w:r>
            <w:r w:rsidR="00D93291" w:rsidRPr="00D93291">
              <w:rPr>
                <w:rFonts w:eastAsia="Calibri"/>
                <w:vertAlign w:val="superscript"/>
              </w:rPr>
              <w:t>3</w:t>
            </w:r>
          </w:p>
        </w:tc>
        <w:tc>
          <w:tcPr>
            <w:tcW w:w="2268" w:type="dxa"/>
            <w:shd w:val="clear" w:color="auto" w:fill="auto"/>
          </w:tcPr>
          <w:p w:rsidR="00DE7F0C" w:rsidRPr="009F66FE" w:rsidRDefault="00A721FC" w:rsidP="00115C18">
            <w:pPr>
              <w:pStyle w:val="Tabletext"/>
              <w:rPr>
                <w:rFonts w:eastAsia="Calibri"/>
              </w:rPr>
            </w:pPr>
            <w:r>
              <w:rPr>
                <w:rFonts w:eastAsia="Calibri"/>
              </w:rPr>
              <w:t>Continuous</w:t>
            </w:r>
          </w:p>
        </w:tc>
        <w:tc>
          <w:tcPr>
            <w:tcW w:w="992" w:type="dxa"/>
            <w:shd w:val="clear" w:color="auto" w:fill="auto"/>
          </w:tcPr>
          <w:p w:rsidR="00DE7F0C" w:rsidRPr="009F66FE" w:rsidRDefault="00DE7F0C" w:rsidP="00115C18">
            <w:pPr>
              <w:pStyle w:val="Tabletext"/>
              <w:tabs>
                <w:tab w:val="decimal" w:pos="284"/>
              </w:tabs>
              <w:rPr>
                <w:rFonts w:eastAsia="Calibri"/>
              </w:rPr>
            </w:pPr>
            <w:r w:rsidRPr="009F66FE">
              <w:rPr>
                <w:rFonts w:eastAsia="Calibri"/>
              </w:rPr>
              <w:t>0.</w:t>
            </w:r>
            <w:r w:rsidR="00685722">
              <w:rPr>
                <w:rFonts w:eastAsia="Calibri"/>
              </w:rPr>
              <w:t>17</w:t>
            </w:r>
            <w:r w:rsidRPr="009F66FE">
              <w:rPr>
                <w:rFonts w:eastAsia="Calibri"/>
              </w:rPr>
              <w:t>**</w:t>
            </w:r>
            <w:r w:rsidR="00FE3233" w:rsidRPr="00046C85">
              <w:rPr>
                <w:rFonts w:eastAsia="Calibri"/>
                <w:color w:val="FFFFFF" w:themeColor="background1"/>
              </w:rPr>
              <w:t>*</w:t>
            </w:r>
          </w:p>
        </w:tc>
        <w:tc>
          <w:tcPr>
            <w:tcW w:w="992" w:type="dxa"/>
            <w:shd w:val="clear" w:color="auto" w:fill="auto"/>
          </w:tcPr>
          <w:p w:rsidR="00DE7F0C" w:rsidRPr="009F66FE" w:rsidRDefault="00DE7F0C" w:rsidP="00115C18">
            <w:pPr>
              <w:pStyle w:val="Tabletext"/>
              <w:tabs>
                <w:tab w:val="decimal" w:pos="369"/>
              </w:tabs>
              <w:rPr>
                <w:rFonts w:eastAsia="Calibri"/>
              </w:rPr>
            </w:pPr>
            <w:r w:rsidRPr="009F66FE">
              <w:rPr>
                <w:rFonts w:eastAsia="Calibri"/>
              </w:rPr>
              <w:t>0.0</w:t>
            </w:r>
            <w:r w:rsidR="00685722">
              <w:rPr>
                <w:rFonts w:eastAsia="Calibri"/>
              </w:rPr>
              <w:t>6</w:t>
            </w:r>
          </w:p>
        </w:tc>
        <w:tc>
          <w:tcPr>
            <w:tcW w:w="992" w:type="dxa"/>
          </w:tcPr>
          <w:p w:rsidR="00DE7F0C" w:rsidRPr="00431CB4" w:rsidRDefault="00892979" w:rsidP="00115C18">
            <w:pPr>
              <w:pStyle w:val="Tabletext"/>
              <w:tabs>
                <w:tab w:val="decimal" w:pos="369"/>
              </w:tabs>
              <w:rPr>
                <w:rFonts w:eastAsia="Calibri"/>
              </w:rPr>
            </w:pPr>
            <w:r w:rsidRPr="00431CB4">
              <w:rPr>
                <w:rFonts w:eastAsia="Calibri"/>
              </w:rPr>
              <w:t>1.</w:t>
            </w:r>
            <w:r w:rsidR="00702448">
              <w:rPr>
                <w:rFonts w:eastAsia="Calibri"/>
              </w:rPr>
              <w:t>18</w:t>
            </w:r>
          </w:p>
        </w:tc>
        <w:tc>
          <w:tcPr>
            <w:tcW w:w="993" w:type="dxa"/>
            <w:shd w:val="clear" w:color="auto" w:fill="auto"/>
          </w:tcPr>
          <w:p w:rsidR="00DE7F0C" w:rsidRPr="009F66FE" w:rsidRDefault="00AF2E9E" w:rsidP="00115C18">
            <w:pPr>
              <w:pStyle w:val="Tabletext"/>
              <w:tabs>
                <w:tab w:val="decimal" w:pos="312"/>
              </w:tabs>
              <w:rPr>
                <w:rFonts w:eastAsia="Calibri"/>
              </w:rPr>
            </w:pPr>
            <w:r>
              <w:rPr>
                <w:rFonts w:eastAsia="Calibri"/>
              </w:rPr>
              <w:t>0.00</w:t>
            </w:r>
            <w:r w:rsidR="00702448">
              <w:rPr>
                <w:rFonts w:eastAsia="Calibri"/>
              </w:rPr>
              <w:t>4</w:t>
            </w:r>
          </w:p>
        </w:tc>
      </w:tr>
      <w:tr w:rsidR="00DE7F0C" w:rsidRPr="008C7CA3" w:rsidTr="000C6446">
        <w:tc>
          <w:tcPr>
            <w:tcW w:w="2552" w:type="dxa"/>
            <w:shd w:val="clear" w:color="auto" w:fill="auto"/>
          </w:tcPr>
          <w:p w:rsidR="00DE7F0C" w:rsidRPr="00585B8F" w:rsidRDefault="00DE7F0C" w:rsidP="00115C18">
            <w:pPr>
              <w:pStyle w:val="Tabletext"/>
              <w:rPr>
                <w:rFonts w:eastAsia="Calibri"/>
              </w:rPr>
            </w:pPr>
            <w:r w:rsidRPr="00585B8F">
              <w:rPr>
                <w:rFonts w:eastAsia="Calibri"/>
              </w:rPr>
              <w:t>Peers’ higher ed. aspirations</w:t>
            </w:r>
          </w:p>
        </w:tc>
        <w:tc>
          <w:tcPr>
            <w:tcW w:w="2268" w:type="dxa"/>
            <w:shd w:val="clear" w:color="auto" w:fill="auto"/>
          </w:tcPr>
          <w:p w:rsidR="00DE7F0C" w:rsidRPr="00585B8F" w:rsidRDefault="00DE7F0C" w:rsidP="00115C18">
            <w:pPr>
              <w:pStyle w:val="Tabletext"/>
              <w:rPr>
                <w:rFonts w:eastAsia="Calibri"/>
              </w:rPr>
            </w:pPr>
            <w:r w:rsidRPr="00585B8F">
              <w:rPr>
                <w:rFonts w:eastAsia="Calibri"/>
              </w:rPr>
              <w:t>University</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1.</w:t>
            </w:r>
            <w:r w:rsidR="00685722">
              <w:rPr>
                <w:rFonts w:eastAsia="Calibri"/>
              </w:rPr>
              <w:t>32</w:t>
            </w:r>
            <w:r>
              <w:rPr>
                <w:rFonts w:eastAsia="Calibri"/>
              </w:rPr>
              <w:t>**</w:t>
            </w:r>
            <w:r w:rsidR="00DE6371">
              <w:rPr>
                <w:rFonts w:eastAsia="Calibri"/>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0.0</w:t>
            </w:r>
            <w:r w:rsidR="00685722">
              <w:rPr>
                <w:rFonts w:eastAsia="Calibri"/>
              </w:rPr>
              <w:t>7</w:t>
            </w:r>
          </w:p>
        </w:tc>
        <w:tc>
          <w:tcPr>
            <w:tcW w:w="992" w:type="dxa"/>
          </w:tcPr>
          <w:p w:rsidR="00DE7F0C" w:rsidRPr="00431CB4" w:rsidRDefault="00702448" w:rsidP="00115C18">
            <w:pPr>
              <w:pStyle w:val="Tabletext"/>
              <w:tabs>
                <w:tab w:val="decimal" w:pos="369"/>
              </w:tabs>
              <w:rPr>
                <w:rFonts w:eastAsia="Calibri"/>
              </w:rPr>
            </w:pPr>
            <w:r>
              <w:rPr>
                <w:rFonts w:eastAsia="Calibri"/>
              </w:rPr>
              <w:t>3.76</w:t>
            </w:r>
          </w:p>
        </w:tc>
        <w:tc>
          <w:tcPr>
            <w:tcW w:w="993" w:type="dxa"/>
            <w:shd w:val="clear" w:color="auto" w:fill="auto"/>
          </w:tcPr>
          <w:p w:rsidR="00DE7F0C" w:rsidRPr="00DE7F0C" w:rsidRDefault="00AF2E9E" w:rsidP="00115C18">
            <w:pPr>
              <w:pStyle w:val="Tabletext"/>
              <w:tabs>
                <w:tab w:val="decimal" w:pos="312"/>
              </w:tabs>
              <w:rPr>
                <w:rFonts w:eastAsia="Calibri"/>
              </w:rPr>
            </w:pPr>
            <w:r>
              <w:rPr>
                <w:rFonts w:eastAsia="Calibri"/>
              </w:rPr>
              <w:t>&lt;.00</w:t>
            </w:r>
            <w:r w:rsidR="00DE7F0C" w:rsidRPr="00DE7F0C">
              <w:rPr>
                <w:rFonts w:eastAsia="Calibri"/>
              </w:rPr>
              <w:t>1</w:t>
            </w:r>
          </w:p>
        </w:tc>
      </w:tr>
      <w:tr w:rsidR="00046C85" w:rsidRPr="008C7CA3" w:rsidTr="000C6446">
        <w:tc>
          <w:tcPr>
            <w:tcW w:w="2552" w:type="dxa"/>
            <w:shd w:val="clear" w:color="auto" w:fill="auto"/>
          </w:tcPr>
          <w:p w:rsidR="00046C85" w:rsidRPr="00585B8F" w:rsidRDefault="00046C85" w:rsidP="00115C18">
            <w:pPr>
              <w:pStyle w:val="Tabletext"/>
              <w:rPr>
                <w:rFonts w:eastAsia="Calibri"/>
              </w:rPr>
            </w:pPr>
          </w:p>
        </w:tc>
        <w:tc>
          <w:tcPr>
            <w:tcW w:w="2268" w:type="dxa"/>
            <w:shd w:val="clear" w:color="auto" w:fill="auto"/>
          </w:tcPr>
          <w:p w:rsidR="00046C85" w:rsidRPr="00585B8F" w:rsidRDefault="00046C85" w:rsidP="00115C18">
            <w:pPr>
              <w:pStyle w:val="Tabletext"/>
              <w:rPr>
                <w:rFonts w:eastAsia="Calibri"/>
              </w:rPr>
            </w:pPr>
            <w:r>
              <w:rPr>
                <w:rFonts w:eastAsia="Calibri"/>
              </w:rPr>
              <w:t>Not university [R]</w:t>
            </w:r>
          </w:p>
        </w:tc>
        <w:tc>
          <w:tcPr>
            <w:tcW w:w="992" w:type="dxa"/>
            <w:shd w:val="clear" w:color="auto" w:fill="auto"/>
          </w:tcPr>
          <w:p w:rsidR="00046C85" w:rsidRPr="00DE7F0C" w:rsidRDefault="00046C85" w:rsidP="00115C18">
            <w:pPr>
              <w:pStyle w:val="Tabletext"/>
              <w:tabs>
                <w:tab w:val="decimal" w:pos="284"/>
              </w:tabs>
              <w:rPr>
                <w:rFonts w:eastAsia="Calibri"/>
              </w:rPr>
            </w:pPr>
          </w:p>
        </w:tc>
        <w:tc>
          <w:tcPr>
            <w:tcW w:w="992" w:type="dxa"/>
            <w:shd w:val="clear" w:color="auto" w:fill="auto"/>
          </w:tcPr>
          <w:p w:rsidR="00046C85" w:rsidRPr="00DE7F0C" w:rsidRDefault="00046C85" w:rsidP="00115C18">
            <w:pPr>
              <w:pStyle w:val="Tabletext"/>
              <w:tabs>
                <w:tab w:val="decimal" w:pos="369"/>
              </w:tabs>
              <w:rPr>
                <w:rFonts w:eastAsia="Calibri"/>
              </w:rPr>
            </w:pPr>
          </w:p>
        </w:tc>
        <w:tc>
          <w:tcPr>
            <w:tcW w:w="992" w:type="dxa"/>
          </w:tcPr>
          <w:p w:rsidR="00046C85" w:rsidRPr="00431CB4" w:rsidRDefault="00046C85" w:rsidP="00115C18">
            <w:pPr>
              <w:pStyle w:val="Tabletext"/>
              <w:tabs>
                <w:tab w:val="decimal" w:pos="369"/>
              </w:tabs>
              <w:rPr>
                <w:rFonts w:eastAsia="Calibri"/>
              </w:rPr>
            </w:pPr>
          </w:p>
        </w:tc>
        <w:tc>
          <w:tcPr>
            <w:tcW w:w="993" w:type="dxa"/>
            <w:shd w:val="clear" w:color="auto" w:fill="auto"/>
          </w:tcPr>
          <w:p w:rsidR="00046C85" w:rsidRPr="00DE7F0C" w:rsidRDefault="00046C85" w:rsidP="00115C18">
            <w:pPr>
              <w:pStyle w:val="Tabletext"/>
              <w:tabs>
                <w:tab w:val="decimal" w:pos="312"/>
              </w:tabs>
              <w:rPr>
                <w:rFonts w:eastAsia="Calibri"/>
              </w:rPr>
            </w:pPr>
          </w:p>
        </w:tc>
      </w:tr>
      <w:tr w:rsidR="00DE7F0C" w:rsidRPr="008C7CA3" w:rsidTr="000C6446">
        <w:tc>
          <w:tcPr>
            <w:tcW w:w="2552" w:type="dxa"/>
            <w:shd w:val="clear" w:color="auto" w:fill="auto"/>
          </w:tcPr>
          <w:p w:rsidR="00DE7F0C" w:rsidRPr="00585B8F" w:rsidRDefault="00DE7F0C" w:rsidP="00115C18">
            <w:pPr>
              <w:pStyle w:val="Tabletext"/>
              <w:rPr>
                <w:rFonts w:eastAsia="Calibri"/>
              </w:rPr>
            </w:pPr>
            <w:r w:rsidRPr="00585B8F">
              <w:rPr>
                <w:rFonts w:eastAsia="Calibri"/>
              </w:rPr>
              <w:t>Parents’ higher ed. aspirations</w:t>
            </w:r>
          </w:p>
        </w:tc>
        <w:tc>
          <w:tcPr>
            <w:tcW w:w="2268" w:type="dxa"/>
            <w:shd w:val="clear" w:color="auto" w:fill="auto"/>
          </w:tcPr>
          <w:p w:rsidR="00DE7F0C" w:rsidRPr="00585B8F" w:rsidRDefault="00DE7F0C" w:rsidP="00115C18">
            <w:pPr>
              <w:pStyle w:val="Tabletext"/>
              <w:rPr>
                <w:rFonts w:eastAsia="Calibri"/>
              </w:rPr>
            </w:pPr>
            <w:r w:rsidRPr="00585B8F">
              <w:rPr>
                <w:rFonts w:eastAsia="Calibri"/>
              </w:rPr>
              <w:t>University</w:t>
            </w:r>
          </w:p>
        </w:tc>
        <w:tc>
          <w:tcPr>
            <w:tcW w:w="992" w:type="dxa"/>
            <w:shd w:val="clear" w:color="auto" w:fill="auto"/>
          </w:tcPr>
          <w:p w:rsidR="00DE7F0C" w:rsidRPr="00DE7F0C" w:rsidRDefault="00DE7F0C" w:rsidP="00115C18">
            <w:pPr>
              <w:pStyle w:val="Tabletext"/>
              <w:tabs>
                <w:tab w:val="decimal" w:pos="284"/>
              </w:tabs>
              <w:rPr>
                <w:rFonts w:eastAsia="Calibri"/>
              </w:rPr>
            </w:pPr>
            <w:r w:rsidRPr="00DE7F0C">
              <w:rPr>
                <w:rFonts w:eastAsia="Calibri"/>
              </w:rPr>
              <w:t>2.</w:t>
            </w:r>
            <w:r w:rsidR="00685722">
              <w:rPr>
                <w:rFonts w:eastAsia="Calibri"/>
              </w:rPr>
              <w:t>4</w:t>
            </w:r>
            <w:r w:rsidR="00892979">
              <w:rPr>
                <w:rFonts w:eastAsia="Calibri"/>
              </w:rPr>
              <w:t>3</w:t>
            </w:r>
            <w:r>
              <w:rPr>
                <w:rFonts w:eastAsia="Calibri"/>
              </w:rPr>
              <w:t>**</w:t>
            </w:r>
            <w:r w:rsidR="00DE6371">
              <w:rPr>
                <w:rFonts w:eastAsia="Calibri"/>
              </w:rPr>
              <w:t>*</w:t>
            </w:r>
          </w:p>
        </w:tc>
        <w:tc>
          <w:tcPr>
            <w:tcW w:w="992" w:type="dxa"/>
            <w:shd w:val="clear" w:color="auto" w:fill="auto"/>
          </w:tcPr>
          <w:p w:rsidR="00DE7F0C" w:rsidRPr="00DE7F0C" w:rsidRDefault="00DE7F0C" w:rsidP="00115C18">
            <w:pPr>
              <w:pStyle w:val="Tabletext"/>
              <w:tabs>
                <w:tab w:val="decimal" w:pos="369"/>
              </w:tabs>
              <w:rPr>
                <w:rFonts w:eastAsia="Calibri"/>
              </w:rPr>
            </w:pPr>
            <w:r w:rsidRPr="00DE7F0C">
              <w:rPr>
                <w:rFonts w:eastAsia="Calibri"/>
              </w:rPr>
              <w:t>0.0</w:t>
            </w:r>
            <w:r w:rsidR="00685722">
              <w:rPr>
                <w:rFonts w:eastAsia="Calibri"/>
              </w:rPr>
              <w:t>8</w:t>
            </w:r>
          </w:p>
        </w:tc>
        <w:tc>
          <w:tcPr>
            <w:tcW w:w="992" w:type="dxa"/>
          </w:tcPr>
          <w:p w:rsidR="00DE7F0C" w:rsidRPr="00431CB4" w:rsidRDefault="00702448" w:rsidP="00115C18">
            <w:pPr>
              <w:pStyle w:val="Tabletext"/>
              <w:tabs>
                <w:tab w:val="decimal" w:pos="369"/>
              </w:tabs>
              <w:rPr>
                <w:rFonts w:eastAsia="Calibri"/>
              </w:rPr>
            </w:pPr>
            <w:r>
              <w:rPr>
                <w:rFonts w:eastAsia="Calibri"/>
              </w:rPr>
              <w:t>11.40</w:t>
            </w:r>
          </w:p>
        </w:tc>
        <w:tc>
          <w:tcPr>
            <w:tcW w:w="993" w:type="dxa"/>
            <w:shd w:val="clear" w:color="auto" w:fill="auto"/>
          </w:tcPr>
          <w:p w:rsidR="00DE7F0C" w:rsidRPr="00DE7F0C" w:rsidRDefault="00AF2E9E" w:rsidP="00115C18">
            <w:pPr>
              <w:pStyle w:val="Tabletext"/>
              <w:tabs>
                <w:tab w:val="decimal" w:pos="312"/>
              </w:tabs>
              <w:rPr>
                <w:rFonts w:eastAsia="Calibri"/>
              </w:rPr>
            </w:pPr>
            <w:r>
              <w:rPr>
                <w:rFonts w:eastAsia="Calibri"/>
              </w:rPr>
              <w:t>&lt;.00</w:t>
            </w:r>
            <w:r w:rsidR="00DE7F0C" w:rsidRPr="00DE7F0C">
              <w:rPr>
                <w:rFonts w:eastAsia="Calibri"/>
              </w:rPr>
              <w:t>1</w:t>
            </w:r>
          </w:p>
        </w:tc>
      </w:tr>
      <w:tr w:rsidR="00046C85" w:rsidRPr="008C7CA3" w:rsidTr="000C6446">
        <w:tc>
          <w:tcPr>
            <w:tcW w:w="2552" w:type="dxa"/>
            <w:shd w:val="clear" w:color="auto" w:fill="auto"/>
          </w:tcPr>
          <w:p w:rsidR="00046C85" w:rsidRPr="00585B8F" w:rsidRDefault="00046C85" w:rsidP="00115C18">
            <w:pPr>
              <w:pStyle w:val="Tabletext"/>
              <w:rPr>
                <w:rFonts w:eastAsia="Calibri"/>
              </w:rPr>
            </w:pPr>
          </w:p>
        </w:tc>
        <w:tc>
          <w:tcPr>
            <w:tcW w:w="2268" w:type="dxa"/>
            <w:shd w:val="clear" w:color="auto" w:fill="auto"/>
          </w:tcPr>
          <w:p w:rsidR="00046C85" w:rsidRPr="00585B8F" w:rsidRDefault="00046C85" w:rsidP="00115C18">
            <w:pPr>
              <w:pStyle w:val="Tabletext"/>
              <w:rPr>
                <w:rFonts w:eastAsia="Calibri"/>
              </w:rPr>
            </w:pPr>
            <w:r>
              <w:rPr>
                <w:rFonts w:eastAsia="Calibri"/>
              </w:rPr>
              <w:t>Not university [R]</w:t>
            </w:r>
          </w:p>
        </w:tc>
        <w:tc>
          <w:tcPr>
            <w:tcW w:w="992" w:type="dxa"/>
            <w:shd w:val="clear" w:color="auto" w:fill="auto"/>
          </w:tcPr>
          <w:p w:rsidR="00046C85" w:rsidRPr="00DE7F0C" w:rsidRDefault="00046C85" w:rsidP="00115C18">
            <w:pPr>
              <w:pStyle w:val="Tabletext"/>
              <w:tabs>
                <w:tab w:val="decimal" w:pos="284"/>
              </w:tabs>
              <w:rPr>
                <w:rFonts w:eastAsia="Calibri"/>
              </w:rPr>
            </w:pPr>
          </w:p>
        </w:tc>
        <w:tc>
          <w:tcPr>
            <w:tcW w:w="992" w:type="dxa"/>
            <w:shd w:val="clear" w:color="auto" w:fill="auto"/>
          </w:tcPr>
          <w:p w:rsidR="00046C85" w:rsidRPr="00DE7F0C" w:rsidRDefault="00046C85" w:rsidP="00115C18">
            <w:pPr>
              <w:pStyle w:val="Tabletext"/>
              <w:tabs>
                <w:tab w:val="decimal" w:pos="369"/>
              </w:tabs>
              <w:rPr>
                <w:rFonts w:eastAsia="Calibri"/>
              </w:rPr>
            </w:pPr>
          </w:p>
        </w:tc>
        <w:tc>
          <w:tcPr>
            <w:tcW w:w="992" w:type="dxa"/>
          </w:tcPr>
          <w:p w:rsidR="00046C85" w:rsidRPr="00816240" w:rsidRDefault="00046C85" w:rsidP="00115C18">
            <w:pPr>
              <w:pStyle w:val="Tabletext"/>
              <w:tabs>
                <w:tab w:val="decimal" w:pos="369"/>
              </w:tabs>
              <w:rPr>
                <w:rFonts w:eastAsia="Calibri"/>
                <w:highlight w:val="yellow"/>
              </w:rPr>
            </w:pPr>
          </w:p>
        </w:tc>
        <w:tc>
          <w:tcPr>
            <w:tcW w:w="993" w:type="dxa"/>
            <w:shd w:val="clear" w:color="auto" w:fill="auto"/>
          </w:tcPr>
          <w:p w:rsidR="00046C85" w:rsidRPr="00DE7F0C" w:rsidRDefault="00046C85" w:rsidP="00115C18">
            <w:pPr>
              <w:pStyle w:val="Tabletext"/>
              <w:tabs>
                <w:tab w:val="decimal" w:pos="312"/>
              </w:tabs>
              <w:rPr>
                <w:rFonts w:eastAsia="Calibri"/>
              </w:rPr>
            </w:pPr>
          </w:p>
        </w:tc>
      </w:tr>
      <w:tr w:rsidR="00DE7F0C" w:rsidRPr="008C7CA3" w:rsidTr="000C6446">
        <w:tc>
          <w:tcPr>
            <w:tcW w:w="2552" w:type="dxa"/>
            <w:tcBorders>
              <w:top w:val="dashed" w:sz="4" w:space="0" w:color="auto"/>
            </w:tcBorders>
            <w:shd w:val="clear" w:color="auto" w:fill="auto"/>
          </w:tcPr>
          <w:p w:rsidR="00DE7F0C" w:rsidRPr="00585B8F" w:rsidRDefault="00DE7F0C" w:rsidP="00115C18">
            <w:pPr>
              <w:pStyle w:val="Tabletext"/>
              <w:rPr>
                <w:rFonts w:eastAsia="Calibri"/>
              </w:rPr>
            </w:pPr>
            <w:r>
              <w:rPr>
                <w:rFonts w:eastAsia="Calibri"/>
              </w:rPr>
              <w:t>Constant</w:t>
            </w:r>
          </w:p>
        </w:tc>
        <w:tc>
          <w:tcPr>
            <w:tcW w:w="2268" w:type="dxa"/>
            <w:tcBorders>
              <w:top w:val="dashed" w:sz="4" w:space="0" w:color="auto"/>
            </w:tcBorders>
            <w:shd w:val="clear" w:color="auto" w:fill="auto"/>
          </w:tcPr>
          <w:p w:rsidR="00DE7F0C" w:rsidRPr="00585B8F" w:rsidRDefault="00DE7F0C" w:rsidP="00115C18">
            <w:pPr>
              <w:pStyle w:val="Tabletext"/>
              <w:rPr>
                <w:rFonts w:eastAsia="Calibri"/>
              </w:rPr>
            </w:pPr>
          </w:p>
        </w:tc>
        <w:tc>
          <w:tcPr>
            <w:tcW w:w="992" w:type="dxa"/>
            <w:tcBorders>
              <w:top w:val="dashed" w:sz="4" w:space="0" w:color="auto"/>
            </w:tcBorders>
            <w:shd w:val="clear" w:color="auto" w:fill="auto"/>
          </w:tcPr>
          <w:p w:rsidR="00DE7F0C" w:rsidRPr="00DE7F0C" w:rsidRDefault="00DE7F0C" w:rsidP="00115C18">
            <w:pPr>
              <w:pStyle w:val="Tabletext"/>
              <w:tabs>
                <w:tab w:val="decimal" w:pos="284"/>
              </w:tabs>
              <w:rPr>
                <w:rFonts w:eastAsia="Calibri"/>
              </w:rPr>
            </w:pPr>
            <w:r w:rsidRPr="00DE7F0C">
              <w:rPr>
                <w:rFonts w:eastAsia="Calibri"/>
              </w:rPr>
              <w:t>-3.</w:t>
            </w:r>
            <w:r w:rsidR="00685722">
              <w:rPr>
                <w:rFonts w:eastAsia="Calibri"/>
              </w:rPr>
              <w:t>1</w:t>
            </w:r>
            <w:r w:rsidR="002468D0">
              <w:rPr>
                <w:rFonts w:eastAsia="Calibri"/>
              </w:rPr>
              <w:t>2</w:t>
            </w:r>
            <w:r>
              <w:rPr>
                <w:rFonts w:eastAsia="Calibri"/>
              </w:rPr>
              <w:t>**</w:t>
            </w:r>
            <w:r w:rsidR="00DE6371">
              <w:rPr>
                <w:rFonts w:eastAsia="Calibri"/>
              </w:rPr>
              <w:t>*</w:t>
            </w:r>
          </w:p>
        </w:tc>
        <w:tc>
          <w:tcPr>
            <w:tcW w:w="992" w:type="dxa"/>
            <w:tcBorders>
              <w:top w:val="dashed" w:sz="4" w:space="0" w:color="auto"/>
            </w:tcBorders>
            <w:shd w:val="clear" w:color="auto" w:fill="auto"/>
          </w:tcPr>
          <w:p w:rsidR="00DE7F0C" w:rsidRPr="00DE7F0C" w:rsidRDefault="00DE7F0C" w:rsidP="00115C18">
            <w:pPr>
              <w:pStyle w:val="Tabletext"/>
              <w:tabs>
                <w:tab w:val="decimal" w:pos="369"/>
              </w:tabs>
              <w:rPr>
                <w:rFonts w:eastAsia="Calibri"/>
              </w:rPr>
            </w:pPr>
            <w:r w:rsidRPr="00DE7F0C">
              <w:rPr>
                <w:rFonts w:eastAsia="Calibri"/>
              </w:rPr>
              <w:t>0.</w:t>
            </w:r>
            <w:r w:rsidR="00892979">
              <w:rPr>
                <w:rFonts w:eastAsia="Calibri"/>
              </w:rPr>
              <w:t>30</w:t>
            </w:r>
          </w:p>
        </w:tc>
        <w:tc>
          <w:tcPr>
            <w:tcW w:w="992" w:type="dxa"/>
            <w:tcBorders>
              <w:top w:val="dashed" w:sz="4" w:space="0" w:color="auto"/>
            </w:tcBorders>
          </w:tcPr>
          <w:p w:rsidR="00DE7F0C" w:rsidRPr="00816240" w:rsidRDefault="00DE7F0C" w:rsidP="00115C18">
            <w:pPr>
              <w:pStyle w:val="Tabletext"/>
              <w:tabs>
                <w:tab w:val="decimal" w:pos="369"/>
              </w:tabs>
              <w:rPr>
                <w:rFonts w:eastAsia="Calibri"/>
                <w:highlight w:val="yellow"/>
              </w:rPr>
            </w:pPr>
          </w:p>
        </w:tc>
        <w:tc>
          <w:tcPr>
            <w:tcW w:w="993" w:type="dxa"/>
            <w:tcBorders>
              <w:top w:val="dashed" w:sz="4" w:space="0" w:color="auto"/>
            </w:tcBorders>
            <w:shd w:val="clear" w:color="auto" w:fill="auto"/>
          </w:tcPr>
          <w:p w:rsidR="00DE7F0C" w:rsidRPr="00DE7F0C" w:rsidRDefault="00AF2E9E" w:rsidP="00115C18">
            <w:pPr>
              <w:pStyle w:val="Tabletext"/>
              <w:tabs>
                <w:tab w:val="decimal" w:pos="312"/>
              </w:tabs>
              <w:rPr>
                <w:rFonts w:eastAsia="Calibri"/>
              </w:rPr>
            </w:pPr>
            <w:r>
              <w:rPr>
                <w:rFonts w:eastAsia="Calibri"/>
              </w:rPr>
              <w:t>&lt;.00</w:t>
            </w:r>
            <w:r w:rsidR="00DE7F0C" w:rsidRPr="00DE7F0C">
              <w:rPr>
                <w:rFonts w:eastAsia="Calibri"/>
              </w:rPr>
              <w:t>1</w:t>
            </w:r>
          </w:p>
        </w:tc>
      </w:tr>
      <w:tr w:rsidR="00DE7F0C" w:rsidRPr="008C7CA3" w:rsidTr="000C6446">
        <w:tc>
          <w:tcPr>
            <w:tcW w:w="2552" w:type="dxa"/>
            <w:shd w:val="clear" w:color="auto" w:fill="auto"/>
          </w:tcPr>
          <w:p w:rsidR="00DE7F0C" w:rsidRDefault="00DE7F0C" w:rsidP="00115C18">
            <w:pPr>
              <w:pStyle w:val="Tabletext"/>
              <w:rPr>
                <w:rFonts w:eastAsia="Calibri"/>
              </w:rPr>
            </w:pPr>
            <w:r>
              <w:rPr>
                <w:rFonts w:eastAsia="Calibri"/>
              </w:rPr>
              <w:t>N</w:t>
            </w:r>
          </w:p>
        </w:tc>
        <w:tc>
          <w:tcPr>
            <w:tcW w:w="2268" w:type="dxa"/>
            <w:shd w:val="clear" w:color="auto" w:fill="auto"/>
          </w:tcPr>
          <w:p w:rsidR="00DE7F0C" w:rsidRPr="00585B8F" w:rsidRDefault="00DE7F0C" w:rsidP="00115C18">
            <w:pPr>
              <w:pStyle w:val="Tabletext"/>
              <w:rPr>
                <w:rFonts w:eastAsia="Calibri"/>
              </w:rPr>
            </w:pPr>
            <w:r>
              <w:rPr>
                <w:rFonts w:eastAsia="Calibri"/>
              </w:rPr>
              <w:t>14</w:t>
            </w:r>
            <w:r w:rsidR="00D80E64">
              <w:rPr>
                <w:rFonts w:eastAsia="Calibri"/>
              </w:rPr>
              <w:t xml:space="preserve"> </w:t>
            </w:r>
            <w:r>
              <w:rPr>
                <w:rFonts w:eastAsia="Calibri"/>
              </w:rPr>
              <w:t>251</w:t>
            </w:r>
          </w:p>
        </w:tc>
        <w:tc>
          <w:tcPr>
            <w:tcW w:w="992" w:type="dxa"/>
            <w:shd w:val="clear" w:color="auto" w:fill="auto"/>
          </w:tcPr>
          <w:p w:rsidR="00DE7F0C" w:rsidRPr="00601013" w:rsidRDefault="00DE7F0C" w:rsidP="00115C18">
            <w:pPr>
              <w:pStyle w:val="Tabletext"/>
              <w:rPr>
                <w:rFonts w:eastAsia="Calibri"/>
              </w:rPr>
            </w:pPr>
          </w:p>
        </w:tc>
        <w:tc>
          <w:tcPr>
            <w:tcW w:w="992" w:type="dxa"/>
            <w:shd w:val="clear" w:color="auto" w:fill="auto"/>
          </w:tcPr>
          <w:p w:rsidR="00DE7F0C" w:rsidRPr="00AF58B4" w:rsidRDefault="00DE7F0C" w:rsidP="00115C18">
            <w:pPr>
              <w:pStyle w:val="Tabletext"/>
              <w:rPr>
                <w:rFonts w:eastAsia="Calibri"/>
              </w:rPr>
            </w:pPr>
          </w:p>
        </w:tc>
        <w:tc>
          <w:tcPr>
            <w:tcW w:w="992" w:type="dxa"/>
          </w:tcPr>
          <w:p w:rsidR="00DE7F0C" w:rsidRPr="00816240" w:rsidRDefault="00DE7F0C" w:rsidP="00115C18">
            <w:pPr>
              <w:pStyle w:val="Tabletext"/>
              <w:rPr>
                <w:rFonts w:eastAsia="Calibri"/>
                <w:highlight w:val="yellow"/>
              </w:rPr>
            </w:pPr>
          </w:p>
        </w:tc>
        <w:tc>
          <w:tcPr>
            <w:tcW w:w="993" w:type="dxa"/>
            <w:shd w:val="clear" w:color="auto" w:fill="auto"/>
          </w:tcPr>
          <w:p w:rsidR="00DE7F0C" w:rsidRPr="000225DF" w:rsidRDefault="00DE7F0C" w:rsidP="00115C18">
            <w:pPr>
              <w:pStyle w:val="Tabletext"/>
              <w:rPr>
                <w:rFonts w:eastAsia="Calibri"/>
              </w:rPr>
            </w:pPr>
          </w:p>
        </w:tc>
      </w:tr>
      <w:tr w:rsidR="009F66FE" w:rsidRPr="008C7CA3" w:rsidTr="000C6446">
        <w:tc>
          <w:tcPr>
            <w:tcW w:w="2552" w:type="dxa"/>
            <w:tcBorders>
              <w:bottom w:val="single" w:sz="4" w:space="0" w:color="auto"/>
            </w:tcBorders>
            <w:shd w:val="clear" w:color="auto" w:fill="auto"/>
          </w:tcPr>
          <w:p w:rsidR="009F66FE" w:rsidRDefault="00B91627" w:rsidP="00115C18">
            <w:pPr>
              <w:pStyle w:val="Tabletext"/>
              <w:rPr>
                <w:rFonts w:eastAsia="Calibri"/>
              </w:rPr>
            </w:pPr>
            <w:r>
              <w:rPr>
                <w:rFonts w:eastAsia="Calibri"/>
              </w:rPr>
              <w:t>Pseudo</w:t>
            </w:r>
            <w:r w:rsidR="005D2591">
              <w:rPr>
                <w:rFonts w:eastAsia="Calibri"/>
              </w:rPr>
              <w:t xml:space="preserve"> </w:t>
            </w:r>
            <w:r w:rsidR="009F66FE">
              <w:rPr>
                <w:rFonts w:eastAsia="Calibri"/>
              </w:rPr>
              <w:t>R-squared</w:t>
            </w:r>
          </w:p>
        </w:tc>
        <w:tc>
          <w:tcPr>
            <w:tcW w:w="2268" w:type="dxa"/>
            <w:tcBorders>
              <w:bottom w:val="single" w:sz="4" w:space="0" w:color="auto"/>
            </w:tcBorders>
            <w:shd w:val="clear" w:color="auto" w:fill="auto"/>
          </w:tcPr>
          <w:p w:rsidR="009F66FE" w:rsidRDefault="009F66FE" w:rsidP="00115C18">
            <w:pPr>
              <w:pStyle w:val="Tabletext"/>
              <w:rPr>
                <w:rFonts w:eastAsia="Calibri"/>
              </w:rPr>
            </w:pPr>
            <w:r w:rsidRPr="00702448">
              <w:rPr>
                <w:rFonts w:eastAsia="Calibri"/>
              </w:rPr>
              <w:t>0.4</w:t>
            </w:r>
            <w:r w:rsidR="00702448" w:rsidRPr="00702448">
              <w:rPr>
                <w:rFonts w:eastAsia="Calibri"/>
              </w:rPr>
              <w:t>3</w:t>
            </w:r>
          </w:p>
        </w:tc>
        <w:tc>
          <w:tcPr>
            <w:tcW w:w="992" w:type="dxa"/>
            <w:tcBorders>
              <w:bottom w:val="single" w:sz="4" w:space="0" w:color="auto"/>
            </w:tcBorders>
            <w:shd w:val="clear" w:color="auto" w:fill="auto"/>
          </w:tcPr>
          <w:p w:rsidR="009F66FE" w:rsidRPr="00601013" w:rsidRDefault="009F66FE" w:rsidP="00115C18">
            <w:pPr>
              <w:pStyle w:val="Tabletext"/>
              <w:rPr>
                <w:rFonts w:eastAsia="Calibri"/>
              </w:rPr>
            </w:pPr>
          </w:p>
        </w:tc>
        <w:tc>
          <w:tcPr>
            <w:tcW w:w="992" w:type="dxa"/>
            <w:tcBorders>
              <w:bottom w:val="single" w:sz="4" w:space="0" w:color="auto"/>
            </w:tcBorders>
            <w:shd w:val="clear" w:color="auto" w:fill="auto"/>
          </w:tcPr>
          <w:p w:rsidR="009F66FE" w:rsidRPr="00AF58B4" w:rsidRDefault="009F66FE" w:rsidP="00115C18">
            <w:pPr>
              <w:pStyle w:val="Tabletext"/>
              <w:rPr>
                <w:rFonts w:eastAsia="Calibri"/>
              </w:rPr>
            </w:pPr>
          </w:p>
        </w:tc>
        <w:tc>
          <w:tcPr>
            <w:tcW w:w="992" w:type="dxa"/>
            <w:tcBorders>
              <w:bottom w:val="single" w:sz="4" w:space="0" w:color="auto"/>
            </w:tcBorders>
          </w:tcPr>
          <w:p w:rsidR="009F66FE" w:rsidRPr="00816240" w:rsidRDefault="009F66FE" w:rsidP="00115C18">
            <w:pPr>
              <w:pStyle w:val="Tabletext"/>
              <w:rPr>
                <w:rFonts w:eastAsia="Calibri"/>
                <w:highlight w:val="yellow"/>
              </w:rPr>
            </w:pPr>
          </w:p>
        </w:tc>
        <w:tc>
          <w:tcPr>
            <w:tcW w:w="993" w:type="dxa"/>
            <w:tcBorders>
              <w:bottom w:val="single" w:sz="4" w:space="0" w:color="auto"/>
            </w:tcBorders>
            <w:shd w:val="clear" w:color="auto" w:fill="auto"/>
          </w:tcPr>
          <w:p w:rsidR="009F66FE" w:rsidRPr="000225DF" w:rsidRDefault="009F66FE" w:rsidP="00115C18">
            <w:pPr>
              <w:pStyle w:val="Tabletext"/>
              <w:rPr>
                <w:rFonts w:eastAsia="Calibri"/>
              </w:rPr>
            </w:pPr>
          </w:p>
        </w:tc>
      </w:tr>
    </w:tbl>
    <w:p w:rsidR="00431CB4" w:rsidRDefault="003611E8" w:rsidP="00115C18">
      <w:pPr>
        <w:pStyle w:val="Source"/>
        <w:tabs>
          <w:tab w:val="left" w:pos="709"/>
          <w:tab w:val="left" w:pos="1276"/>
          <w:tab w:val="left" w:pos="1985"/>
        </w:tabs>
        <w:rPr>
          <w:rFonts w:eastAsia="Calibri"/>
        </w:rPr>
      </w:pPr>
      <w:r>
        <w:rPr>
          <w:rFonts w:eastAsia="Calibri"/>
        </w:rPr>
        <w:t xml:space="preserve">Notes: </w:t>
      </w:r>
      <w:r>
        <w:rPr>
          <w:rFonts w:eastAsia="Calibri"/>
        </w:rPr>
        <w:tab/>
      </w:r>
      <w:r w:rsidR="00431CB4">
        <w:rPr>
          <w:rFonts w:eastAsia="Calibri"/>
        </w:rPr>
        <w:t xml:space="preserve">* </w:t>
      </w:r>
      <w:r w:rsidR="00115C18">
        <w:rPr>
          <w:rFonts w:eastAsia="Calibri"/>
        </w:rPr>
        <w:tab/>
      </w:r>
      <w:r w:rsidR="00431CB4">
        <w:rPr>
          <w:rFonts w:eastAsia="Calibri"/>
        </w:rPr>
        <w:t>&lt;0.05</w:t>
      </w:r>
      <w:r w:rsidR="00431CB4">
        <w:rPr>
          <w:rFonts w:eastAsia="Calibri"/>
        </w:rPr>
        <w:tab/>
        <w:t xml:space="preserve">** </w:t>
      </w:r>
      <w:r w:rsidR="00115C18">
        <w:rPr>
          <w:rFonts w:eastAsia="Calibri"/>
        </w:rPr>
        <w:t xml:space="preserve"> </w:t>
      </w:r>
      <w:r w:rsidR="00431CB4">
        <w:rPr>
          <w:rFonts w:eastAsia="Calibri"/>
        </w:rPr>
        <w:t>&lt;0.01</w:t>
      </w:r>
      <w:r w:rsidR="00542066">
        <w:rPr>
          <w:rFonts w:eastAsia="Calibri"/>
        </w:rPr>
        <w:tab/>
      </w:r>
      <w:r w:rsidR="00115C18">
        <w:rPr>
          <w:rFonts w:eastAsia="Calibri"/>
        </w:rPr>
        <w:t xml:space="preserve"> </w:t>
      </w:r>
      <w:r w:rsidR="00542066">
        <w:rPr>
          <w:rFonts w:eastAsia="Calibri"/>
        </w:rPr>
        <w:t>***</w:t>
      </w:r>
      <w:r w:rsidR="00115C18">
        <w:rPr>
          <w:rFonts w:eastAsia="Calibri"/>
        </w:rPr>
        <w:t xml:space="preserve"> </w:t>
      </w:r>
      <w:r w:rsidR="00542066">
        <w:rPr>
          <w:rFonts w:eastAsia="Calibri"/>
        </w:rPr>
        <w:t xml:space="preserve"> &lt;0.001</w:t>
      </w:r>
      <w:r w:rsidR="00D93291">
        <w:rPr>
          <w:rFonts w:eastAsia="Calibri"/>
        </w:rPr>
        <w:t>.</w:t>
      </w:r>
    </w:p>
    <w:p w:rsidR="00542066" w:rsidRDefault="00115C18" w:rsidP="00115C18">
      <w:pPr>
        <w:pStyle w:val="Source"/>
        <w:tabs>
          <w:tab w:val="left" w:pos="567"/>
        </w:tabs>
        <w:ind w:left="709" w:hanging="142"/>
        <w:rPr>
          <w:rFonts w:eastAsia="Calibri"/>
        </w:rPr>
      </w:pPr>
      <w:r>
        <w:rPr>
          <w:rFonts w:eastAsia="Calibri"/>
        </w:rPr>
        <w:t>1</w:t>
      </w:r>
      <w:r>
        <w:rPr>
          <w:rFonts w:eastAsia="Calibri"/>
        </w:rPr>
        <w:tab/>
      </w:r>
      <w:r w:rsidR="00542066">
        <w:rPr>
          <w:rFonts w:eastAsia="Calibri"/>
        </w:rPr>
        <w:t>To facilitate the interpretation of regression results, t</w:t>
      </w:r>
      <w:r w:rsidR="00542066" w:rsidRPr="00F139E8">
        <w:rPr>
          <w:rFonts w:eastAsia="Calibri"/>
        </w:rPr>
        <w:t xml:space="preserve">he continuous predictors </w:t>
      </w:r>
      <w:r w:rsidR="00542066" w:rsidRPr="00F139E8">
        <w:rPr>
          <w:rFonts w:eastAsia="Calibri"/>
          <w:i/>
        </w:rPr>
        <w:t>SES, attitudes to school, teacher quality, teacher</w:t>
      </w:r>
      <w:r>
        <w:rPr>
          <w:rFonts w:eastAsia="Calibri"/>
          <w:i/>
        </w:rPr>
        <w:t>–</w:t>
      </w:r>
      <w:r w:rsidR="00542066" w:rsidRPr="00F139E8">
        <w:rPr>
          <w:rFonts w:eastAsia="Calibri"/>
          <w:i/>
        </w:rPr>
        <w:t>student relations</w:t>
      </w:r>
      <w:r w:rsidR="00542066">
        <w:rPr>
          <w:rFonts w:eastAsia="Calibri"/>
        </w:rPr>
        <w:t xml:space="preserve"> and </w:t>
      </w:r>
      <w:r w:rsidR="00542066" w:rsidRPr="00F139E8">
        <w:rPr>
          <w:rFonts w:eastAsia="Calibri"/>
          <w:i/>
        </w:rPr>
        <w:t>disciplinary climate</w:t>
      </w:r>
      <w:r w:rsidR="00542066">
        <w:rPr>
          <w:rFonts w:eastAsia="Calibri"/>
        </w:rPr>
        <w:t xml:space="preserve"> </w:t>
      </w:r>
      <w:r w:rsidR="00542066" w:rsidRPr="00F139E8">
        <w:rPr>
          <w:rFonts w:eastAsia="Calibri"/>
        </w:rPr>
        <w:t xml:space="preserve">were standardised to a mean of </w:t>
      </w:r>
      <w:r w:rsidR="00542066" w:rsidRPr="00707B5C">
        <w:rPr>
          <w:rFonts w:eastAsia="Calibri"/>
        </w:rPr>
        <w:t>0</w:t>
      </w:r>
      <w:r w:rsidR="00542066" w:rsidRPr="00F139E8">
        <w:rPr>
          <w:rFonts w:eastAsia="Calibri"/>
        </w:rPr>
        <w:t xml:space="preserve"> and a standard deviation of </w:t>
      </w:r>
      <w:r w:rsidR="00542066" w:rsidRPr="00707B5C">
        <w:rPr>
          <w:rFonts w:eastAsia="Calibri"/>
        </w:rPr>
        <w:t>1</w:t>
      </w:r>
      <w:r w:rsidR="00542066" w:rsidRPr="00F139E8">
        <w:rPr>
          <w:rFonts w:eastAsia="Calibri"/>
        </w:rPr>
        <w:t>.</w:t>
      </w:r>
    </w:p>
    <w:p w:rsidR="002C6273" w:rsidRDefault="00115C18" w:rsidP="00115C18">
      <w:pPr>
        <w:pStyle w:val="Source"/>
        <w:tabs>
          <w:tab w:val="left" w:pos="567"/>
        </w:tabs>
        <w:ind w:left="709" w:hanging="142"/>
        <w:rPr>
          <w:rFonts w:eastAsia="Calibri"/>
        </w:rPr>
      </w:pPr>
      <w:r>
        <w:rPr>
          <w:rFonts w:eastAsia="Calibri"/>
        </w:rPr>
        <w:t>2</w:t>
      </w:r>
      <w:r>
        <w:rPr>
          <w:rFonts w:eastAsia="Calibri"/>
        </w:rPr>
        <w:tab/>
      </w:r>
      <w:r w:rsidR="002C6273">
        <w:rPr>
          <w:rFonts w:eastAsia="Calibri"/>
        </w:rPr>
        <w:t>While not significant, the coefficient for Indigenous status has an unusual sign. Please see the earlier discussion for ‘Year</w:t>
      </w:r>
      <w:r w:rsidR="0038754B">
        <w:rPr>
          <w:rFonts w:eastAsia="Calibri"/>
        </w:rPr>
        <w:t> </w:t>
      </w:r>
      <w:r w:rsidR="002C6273">
        <w:rPr>
          <w:rFonts w:eastAsia="Calibri"/>
        </w:rPr>
        <w:t>12 plans’ for further explanation.</w:t>
      </w:r>
    </w:p>
    <w:p w:rsidR="00D93291" w:rsidRDefault="00115C18" w:rsidP="00115C18">
      <w:pPr>
        <w:pStyle w:val="Source"/>
        <w:tabs>
          <w:tab w:val="left" w:pos="567"/>
        </w:tabs>
        <w:ind w:left="709" w:hanging="142"/>
        <w:rPr>
          <w:rFonts w:eastAsia="Calibri"/>
        </w:rPr>
      </w:pPr>
      <w:r>
        <w:t>3</w:t>
      </w:r>
      <w:r>
        <w:tab/>
      </w:r>
      <w:r w:rsidR="00D93291">
        <w:t>The coefficient gives the increase in the logit for a 100-unit increase in a student’s academic performance score.</w:t>
      </w:r>
    </w:p>
    <w:p w:rsidR="000C6446" w:rsidRDefault="00FF04C1" w:rsidP="000C6446">
      <w:pPr>
        <w:pStyle w:val="Textmorebefore"/>
        <w:ind w:right="-143"/>
        <w:rPr>
          <w:rFonts w:eastAsia="Calibri"/>
        </w:rPr>
      </w:pPr>
      <w:r>
        <w:rPr>
          <w:rFonts w:eastAsia="Calibri"/>
        </w:rPr>
        <w:t>As with Year 12 completion,</w:t>
      </w:r>
      <w:r w:rsidR="00503D0F">
        <w:rPr>
          <w:rFonts w:eastAsia="Calibri"/>
        </w:rPr>
        <w:t xml:space="preserve"> parental expectations have the strongest infl</w:t>
      </w:r>
      <w:r w:rsidR="00F64804">
        <w:rPr>
          <w:rFonts w:eastAsia="Calibri"/>
        </w:rPr>
        <w:t xml:space="preserve">uence on </w:t>
      </w:r>
      <w:r>
        <w:rPr>
          <w:rFonts w:eastAsia="Calibri"/>
        </w:rPr>
        <w:t>plans to attend university</w:t>
      </w:r>
      <w:r w:rsidR="00F64804">
        <w:rPr>
          <w:rFonts w:eastAsia="Calibri"/>
        </w:rPr>
        <w:t xml:space="preserve">. </w:t>
      </w:r>
      <w:r>
        <w:rPr>
          <w:rFonts w:eastAsia="Calibri"/>
        </w:rPr>
        <w:t xml:space="preserve">This time the influence is even stronger. </w:t>
      </w:r>
      <w:r w:rsidR="00F64804">
        <w:rPr>
          <w:rFonts w:eastAsia="Calibri"/>
        </w:rPr>
        <w:t>S</w:t>
      </w:r>
      <w:r w:rsidR="00503D0F">
        <w:rPr>
          <w:rFonts w:eastAsia="Calibri"/>
        </w:rPr>
        <w:t>t</w:t>
      </w:r>
      <w:r w:rsidR="003E6509">
        <w:rPr>
          <w:rFonts w:eastAsia="Calibri"/>
        </w:rPr>
        <w:t>udents whose parents expect</w:t>
      </w:r>
      <w:r w:rsidR="00503D0F">
        <w:rPr>
          <w:rFonts w:eastAsia="Calibri"/>
        </w:rPr>
        <w:t xml:space="preserve"> </w:t>
      </w:r>
      <w:r w:rsidR="004F1375">
        <w:rPr>
          <w:rFonts w:eastAsia="Calibri"/>
        </w:rPr>
        <w:t>them</w:t>
      </w:r>
      <w:r w:rsidR="00503D0F">
        <w:rPr>
          <w:rFonts w:eastAsia="Calibri"/>
        </w:rPr>
        <w:t xml:space="preserve"> to go to university are around </w:t>
      </w:r>
      <w:r w:rsidR="00503D0F" w:rsidRPr="00FF04C1">
        <w:rPr>
          <w:rFonts w:eastAsia="Calibri"/>
          <w:i/>
        </w:rPr>
        <w:t>1</w:t>
      </w:r>
      <w:r w:rsidR="00D12DD9">
        <w:rPr>
          <w:rFonts w:eastAsia="Calibri"/>
          <w:i/>
        </w:rPr>
        <w:t>1</w:t>
      </w:r>
      <w:r w:rsidR="00503D0F" w:rsidRPr="00FF04C1">
        <w:rPr>
          <w:rFonts w:eastAsia="Calibri"/>
          <w:i/>
        </w:rPr>
        <w:t xml:space="preserve"> times</w:t>
      </w:r>
      <w:r w:rsidR="003E6509">
        <w:rPr>
          <w:rFonts w:eastAsia="Calibri"/>
        </w:rPr>
        <w:t xml:space="preserve"> more likely to report</w:t>
      </w:r>
      <w:r w:rsidR="00503D0F">
        <w:rPr>
          <w:rFonts w:eastAsia="Calibri"/>
        </w:rPr>
        <w:t xml:space="preserve"> that </w:t>
      </w:r>
      <w:r w:rsidR="001544D4">
        <w:rPr>
          <w:rFonts w:eastAsia="Calibri"/>
        </w:rPr>
        <w:t xml:space="preserve">they </w:t>
      </w:r>
      <w:r w:rsidR="003E6509">
        <w:rPr>
          <w:rFonts w:eastAsia="Calibri"/>
        </w:rPr>
        <w:t xml:space="preserve">plan to attend university when compared </w:t>
      </w:r>
      <w:r w:rsidR="004F1375">
        <w:rPr>
          <w:rFonts w:eastAsia="Calibri"/>
        </w:rPr>
        <w:t>with</w:t>
      </w:r>
      <w:r w:rsidR="003E6509">
        <w:rPr>
          <w:rFonts w:eastAsia="Calibri"/>
        </w:rPr>
        <w:t xml:space="preserve"> </w:t>
      </w:r>
      <w:r w:rsidR="004F1375">
        <w:rPr>
          <w:rFonts w:eastAsia="Calibri"/>
        </w:rPr>
        <w:t>students</w:t>
      </w:r>
      <w:r w:rsidR="003E6509">
        <w:rPr>
          <w:rFonts w:eastAsia="Calibri"/>
        </w:rPr>
        <w:t xml:space="preserve"> whose parents expect</w:t>
      </w:r>
      <w:r w:rsidR="00503D0F">
        <w:rPr>
          <w:rFonts w:eastAsia="Calibri"/>
        </w:rPr>
        <w:t xml:space="preserve"> them to do something other than university. Peer plans also have a strong influence: students whose friends plan to attend university are nearly </w:t>
      </w:r>
      <w:r w:rsidR="003E6509" w:rsidRPr="003E6509">
        <w:rPr>
          <w:rFonts w:eastAsia="Calibri"/>
          <w:i/>
        </w:rPr>
        <w:t>f</w:t>
      </w:r>
      <w:r w:rsidR="00D12DD9">
        <w:rPr>
          <w:rFonts w:eastAsia="Calibri"/>
          <w:i/>
        </w:rPr>
        <w:t>our</w:t>
      </w:r>
      <w:r w:rsidR="009751EC" w:rsidRPr="003E6509">
        <w:rPr>
          <w:rFonts w:eastAsia="Calibri"/>
          <w:i/>
        </w:rPr>
        <w:t xml:space="preserve"> </w:t>
      </w:r>
      <w:r w:rsidR="00B91627" w:rsidRPr="003E6509">
        <w:rPr>
          <w:rFonts w:eastAsia="Calibri"/>
          <w:i/>
        </w:rPr>
        <w:t>times</w:t>
      </w:r>
      <w:r w:rsidR="00B91627">
        <w:rPr>
          <w:rFonts w:eastAsia="Calibri"/>
        </w:rPr>
        <w:t xml:space="preserve"> more</w:t>
      </w:r>
      <w:r w:rsidR="00503D0F">
        <w:rPr>
          <w:rFonts w:eastAsia="Calibri"/>
        </w:rPr>
        <w:t xml:space="preserve"> likely to plan to attend university </w:t>
      </w:r>
      <w:r w:rsidR="00707B5C">
        <w:rPr>
          <w:rFonts w:eastAsia="Calibri"/>
        </w:rPr>
        <w:t>than</w:t>
      </w:r>
      <w:r w:rsidR="00503D0F">
        <w:rPr>
          <w:rFonts w:eastAsia="Calibri"/>
        </w:rPr>
        <w:t xml:space="preserve"> their counterparts whose friends do not plan to attend university.</w:t>
      </w:r>
    </w:p>
    <w:p w:rsidR="00431CB4" w:rsidRDefault="00431CB4" w:rsidP="00115C18">
      <w:pPr>
        <w:pStyle w:val="Textmorebefore"/>
        <w:rPr>
          <w:rFonts w:eastAsia="Calibri"/>
        </w:rPr>
      </w:pPr>
      <w:r>
        <w:rPr>
          <w:rFonts w:eastAsia="Calibri"/>
        </w:rPr>
        <w:br w:type="page"/>
      </w:r>
    </w:p>
    <w:p w:rsidR="00590FD8" w:rsidRDefault="00C74770" w:rsidP="00590FD8">
      <w:pPr>
        <w:pStyle w:val="Text"/>
      </w:pPr>
      <w:r w:rsidRPr="00C74770">
        <w:lastRenderedPageBreak/>
        <w:t xml:space="preserve">Again, </w:t>
      </w:r>
      <w:r w:rsidR="00A05000">
        <w:t>CHAID tree diagrams are used to determine</w:t>
      </w:r>
      <w:r w:rsidR="00871BC8">
        <w:t xml:space="preserve"> which of the identified statistically significant predictor variables matter most</w:t>
      </w:r>
      <w:r w:rsidR="00A05000">
        <w:t xml:space="preserve"> (figure 2)</w:t>
      </w:r>
      <w:r w:rsidR="00871BC8">
        <w:t>. T</w:t>
      </w:r>
      <w:r w:rsidR="008547C2" w:rsidRPr="00C74770">
        <w:t xml:space="preserve">he principal drivers of young people’s plans </w:t>
      </w:r>
      <w:r w:rsidR="004F1375">
        <w:t>to</w:t>
      </w:r>
      <w:r w:rsidR="008547C2" w:rsidRPr="00C74770">
        <w:t xml:space="preserve"> attend university in the first y</w:t>
      </w:r>
      <w:r w:rsidRPr="00C74770">
        <w:t>ear after leaving school are parental expectations and peers’ plans</w:t>
      </w:r>
      <w:r>
        <w:t>. The next most influential set of</w:t>
      </w:r>
      <w:r w:rsidR="008547C2" w:rsidRPr="00C74770">
        <w:t xml:space="preserve"> predictors</w:t>
      </w:r>
      <w:r w:rsidR="00277EAB" w:rsidRPr="00C74770">
        <w:t xml:space="preserve"> consist</w:t>
      </w:r>
      <w:r>
        <w:t>s</w:t>
      </w:r>
      <w:r w:rsidR="00277EAB" w:rsidRPr="00C74770">
        <w:t xml:space="preserve"> of academic performance</w:t>
      </w:r>
      <w:r w:rsidR="008547C2" w:rsidRPr="00C74770">
        <w:t>, gender, attitudes toward school and teacher</w:t>
      </w:r>
      <w:r w:rsidR="00A721FC">
        <w:t>—</w:t>
      </w:r>
      <w:r w:rsidR="008547C2" w:rsidRPr="00C74770">
        <w:t>studen</w:t>
      </w:r>
      <w:r w:rsidR="00F7670B">
        <w:t>t relations. S</w:t>
      </w:r>
      <w:r>
        <w:t>tudents</w:t>
      </w:r>
      <w:r w:rsidR="008547C2" w:rsidRPr="00C74770">
        <w:t xml:space="preserve"> whose parents do not expect them to go to unive</w:t>
      </w:r>
      <w:r>
        <w:t>rsity,</w:t>
      </w:r>
      <w:r w:rsidR="008547C2" w:rsidRPr="00C74770">
        <w:t xml:space="preserve"> whose friends do not exp</w:t>
      </w:r>
      <w:r>
        <w:t>ect to attend university and</w:t>
      </w:r>
      <w:r w:rsidR="004F1375">
        <w:t xml:space="preserve"> who are academic low </w:t>
      </w:r>
      <w:r w:rsidR="00F7670B">
        <w:t>achievers</w:t>
      </w:r>
      <w:r w:rsidR="008547C2" w:rsidRPr="00C74770">
        <w:t xml:space="preserve"> </w:t>
      </w:r>
      <w:r w:rsidR="00F7670B">
        <w:t xml:space="preserve">have a probability of only </w:t>
      </w:r>
      <w:r w:rsidR="00F7670B" w:rsidRPr="004F1375">
        <w:t>0.04</w:t>
      </w:r>
      <w:r w:rsidR="00F7670B" w:rsidRPr="00F7670B">
        <w:t xml:space="preserve"> of planning to attend university in the year immediately after leaving school</w:t>
      </w:r>
      <w:r w:rsidR="008547C2" w:rsidRPr="00F7670B">
        <w:t xml:space="preserve"> </w:t>
      </w:r>
      <w:r w:rsidR="008547C2" w:rsidRPr="00C74770">
        <w:t xml:space="preserve">(node 7). This compares </w:t>
      </w:r>
      <w:r w:rsidR="00707B5C">
        <w:t>with</w:t>
      </w:r>
      <w:r w:rsidR="008547C2" w:rsidRPr="00C74770">
        <w:t xml:space="preserve"> </w:t>
      </w:r>
      <w:r w:rsidR="002F1942">
        <w:t>a probability of 0.9 for</w:t>
      </w:r>
      <w:r w:rsidR="008547C2" w:rsidRPr="00C74770">
        <w:t xml:space="preserve"> those whose parents and friends expect university attendance and who report very positive relations with their teachers (node 17).</w:t>
      </w:r>
    </w:p>
    <w:p w:rsidR="00384A07" w:rsidRPr="00384A07" w:rsidRDefault="00384A07" w:rsidP="00384A07">
      <w:pPr>
        <w:pStyle w:val="Heading2"/>
      </w:pPr>
      <w:bookmarkStart w:id="61" w:name="_Toc380048247"/>
      <w:r w:rsidRPr="00384A07">
        <w:t>Occupational aspirations</w:t>
      </w:r>
      <w:bookmarkEnd w:id="61"/>
    </w:p>
    <w:p w:rsidR="00384A07" w:rsidRPr="00384A07" w:rsidRDefault="00384A07" w:rsidP="00384A07">
      <w:pPr>
        <w:pStyle w:val="Text"/>
      </w:pPr>
      <w:r w:rsidRPr="00384A07">
        <w:t>The final outcome variable considered is the occupational status of the job students expect to have at age 30 years (table 7). Recall that this outcome is measured using the AUSEI06 scale (McMillan et al. 2009), which is a continuous measure of occupational status, ranging from 0 (low status) to 100 (high status).</w:t>
      </w:r>
    </w:p>
    <w:p w:rsidR="00384A07" w:rsidRPr="00384A07" w:rsidRDefault="00384A07" w:rsidP="00384A07">
      <w:pPr>
        <w:pStyle w:val="tabletitle"/>
      </w:pPr>
      <w:bookmarkStart w:id="62" w:name="_Ref349641356"/>
      <w:bookmarkStart w:id="63" w:name="_Toc377396984"/>
      <w:r w:rsidRPr="00384A07">
        <w:t xml:space="preserve">Table </w:t>
      </w:r>
      <w:bookmarkEnd w:id="62"/>
      <w:r w:rsidRPr="00384A07">
        <w:t>7</w:t>
      </w:r>
      <w:r w:rsidRPr="00384A07">
        <w:tab/>
        <w:t>OLS regression results for occupational aspirations</w:t>
      </w:r>
      <w:r w:rsidRPr="00384A07">
        <w:rPr>
          <w:vertAlign w:val="superscript"/>
        </w:rPr>
        <w:t>1</w:t>
      </w:r>
      <w:bookmarkEnd w:id="63"/>
    </w:p>
    <w:tbl>
      <w:tblPr>
        <w:tblW w:w="8789" w:type="dxa"/>
        <w:tblInd w:w="57" w:type="dxa"/>
        <w:tblLayout w:type="fixed"/>
        <w:tblCellMar>
          <w:left w:w="57" w:type="dxa"/>
          <w:right w:w="57" w:type="dxa"/>
        </w:tblCellMar>
        <w:tblLook w:val="0000" w:firstRow="0" w:lastRow="0" w:firstColumn="0" w:lastColumn="0" w:noHBand="0" w:noVBand="0"/>
      </w:tblPr>
      <w:tblGrid>
        <w:gridCol w:w="2552"/>
        <w:gridCol w:w="2410"/>
        <w:gridCol w:w="1275"/>
        <w:gridCol w:w="1276"/>
        <w:gridCol w:w="1276"/>
      </w:tblGrid>
      <w:tr w:rsidR="00384A07" w:rsidRPr="00384A07" w:rsidTr="00FA0A74">
        <w:tc>
          <w:tcPr>
            <w:tcW w:w="2552" w:type="dxa"/>
            <w:tcBorders>
              <w:top w:val="single" w:sz="4" w:space="0" w:color="000000"/>
              <w:bottom w:val="single" w:sz="4" w:space="0" w:color="000000"/>
            </w:tcBorders>
          </w:tcPr>
          <w:p w:rsidR="00384A07" w:rsidRPr="00384A07" w:rsidRDefault="00384A07" w:rsidP="00384A07">
            <w:pPr>
              <w:pStyle w:val="Tablehead1"/>
            </w:pPr>
            <w:bookmarkStart w:id="64" w:name="_Hlk351455277"/>
            <w:r w:rsidRPr="00384A07">
              <w:t>Parameter</w:t>
            </w:r>
          </w:p>
        </w:tc>
        <w:tc>
          <w:tcPr>
            <w:tcW w:w="2410" w:type="dxa"/>
            <w:tcBorders>
              <w:top w:val="single" w:sz="4" w:space="0" w:color="000000"/>
              <w:bottom w:val="single" w:sz="4" w:space="0" w:color="000000"/>
            </w:tcBorders>
          </w:tcPr>
          <w:p w:rsidR="00384A07" w:rsidRPr="00384A07" w:rsidRDefault="00384A07" w:rsidP="00384A07">
            <w:pPr>
              <w:pStyle w:val="Tablehead1"/>
            </w:pPr>
            <w:r w:rsidRPr="00384A07">
              <w:t>Level</w:t>
            </w:r>
          </w:p>
        </w:tc>
        <w:tc>
          <w:tcPr>
            <w:tcW w:w="1275" w:type="dxa"/>
            <w:tcBorders>
              <w:top w:val="single" w:sz="4" w:space="0" w:color="000000"/>
              <w:bottom w:val="single" w:sz="4" w:space="0" w:color="000000"/>
            </w:tcBorders>
          </w:tcPr>
          <w:p w:rsidR="00384A07" w:rsidRPr="00384A07" w:rsidRDefault="00384A07" w:rsidP="00384A07">
            <w:pPr>
              <w:pStyle w:val="Tablehead1"/>
              <w:jc w:val="center"/>
            </w:pPr>
            <w:r w:rsidRPr="00384A07">
              <w:t>β</w:t>
            </w:r>
          </w:p>
        </w:tc>
        <w:tc>
          <w:tcPr>
            <w:tcW w:w="1276" w:type="dxa"/>
            <w:tcBorders>
              <w:top w:val="single" w:sz="4" w:space="0" w:color="000000"/>
              <w:bottom w:val="single" w:sz="4" w:space="0" w:color="000000"/>
            </w:tcBorders>
          </w:tcPr>
          <w:p w:rsidR="00384A07" w:rsidRPr="00384A07" w:rsidRDefault="00384A07" w:rsidP="00384A07">
            <w:pPr>
              <w:pStyle w:val="Tablehead1"/>
              <w:jc w:val="center"/>
            </w:pPr>
            <w:r w:rsidRPr="00384A07">
              <w:t>Std error</w:t>
            </w:r>
          </w:p>
        </w:tc>
        <w:tc>
          <w:tcPr>
            <w:tcW w:w="1276" w:type="dxa"/>
            <w:tcBorders>
              <w:top w:val="single" w:sz="4" w:space="0" w:color="000000"/>
              <w:bottom w:val="single" w:sz="4" w:space="0" w:color="000000"/>
            </w:tcBorders>
          </w:tcPr>
          <w:p w:rsidR="00384A07" w:rsidRPr="00384A07" w:rsidRDefault="00384A07" w:rsidP="00384A07">
            <w:pPr>
              <w:pStyle w:val="Tablehead1"/>
              <w:jc w:val="center"/>
            </w:pPr>
            <w:r w:rsidRPr="00384A07">
              <w:t>Pr &gt; |t|</w:t>
            </w:r>
          </w:p>
        </w:tc>
      </w:tr>
      <w:tr w:rsidR="00384A07" w:rsidRPr="00384A07" w:rsidTr="00FA0A74">
        <w:tc>
          <w:tcPr>
            <w:tcW w:w="2552" w:type="dxa"/>
            <w:shd w:val="clear" w:color="auto" w:fill="auto"/>
          </w:tcPr>
          <w:p w:rsidR="00384A07" w:rsidRPr="00384A07" w:rsidRDefault="00384A07" w:rsidP="00384A07">
            <w:pPr>
              <w:pStyle w:val="Tabletext"/>
            </w:pPr>
            <w:r w:rsidRPr="00384A07">
              <w:t>Gender</w:t>
            </w:r>
          </w:p>
        </w:tc>
        <w:tc>
          <w:tcPr>
            <w:tcW w:w="2410" w:type="dxa"/>
            <w:shd w:val="clear" w:color="auto" w:fill="auto"/>
          </w:tcPr>
          <w:p w:rsidR="00384A07" w:rsidRPr="00384A07" w:rsidRDefault="00384A07" w:rsidP="00384A07">
            <w:pPr>
              <w:pStyle w:val="Tabletext"/>
            </w:pPr>
            <w:r w:rsidRPr="00384A07">
              <w:t>Male</w:t>
            </w:r>
          </w:p>
        </w:tc>
        <w:tc>
          <w:tcPr>
            <w:tcW w:w="1275" w:type="dxa"/>
            <w:shd w:val="clear" w:color="auto" w:fill="auto"/>
          </w:tcPr>
          <w:p w:rsidR="00384A07" w:rsidRPr="00384A07" w:rsidRDefault="00384A07" w:rsidP="00384A07">
            <w:pPr>
              <w:pStyle w:val="Tabletext"/>
              <w:tabs>
                <w:tab w:val="decimal" w:pos="441"/>
              </w:tabs>
            </w:pPr>
            <w:r w:rsidRPr="00384A07">
              <w:t>-5.75***</w:t>
            </w:r>
          </w:p>
        </w:tc>
        <w:tc>
          <w:tcPr>
            <w:tcW w:w="1276" w:type="dxa"/>
            <w:shd w:val="clear" w:color="auto" w:fill="auto"/>
          </w:tcPr>
          <w:p w:rsidR="00384A07" w:rsidRPr="00384A07" w:rsidRDefault="00384A07" w:rsidP="00384A07">
            <w:pPr>
              <w:pStyle w:val="Tabletext"/>
              <w:tabs>
                <w:tab w:val="decimal" w:pos="531"/>
              </w:tabs>
            </w:pPr>
            <w:r w:rsidRPr="00384A07">
              <w:t>0.44</w:t>
            </w:r>
          </w:p>
        </w:tc>
        <w:tc>
          <w:tcPr>
            <w:tcW w:w="1276" w:type="dxa"/>
            <w:shd w:val="clear" w:color="auto" w:fill="auto"/>
          </w:tcPr>
          <w:p w:rsidR="00384A07" w:rsidRPr="00384A07" w:rsidRDefault="00384A07" w:rsidP="00384A07">
            <w:pPr>
              <w:pStyle w:val="Tabletext"/>
              <w:tabs>
                <w:tab w:val="decimal" w:pos="440"/>
              </w:tabs>
            </w:pPr>
            <w:r w:rsidRPr="00384A07">
              <w:t>&lt;.001</w:t>
            </w:r>
          </w:p>
        </w:tc>
      </w:tr>
      <w:tr w:rsidR="00384A07" w:rsidRPr="00384A07" w:rsidTr="00FA0A74">
        <w:tc>
          <w:tcPr>
            <w:tcW w:w="2552" w:type="dxa"/>
            <w:shd w:val="clear" w:color="auto" w:fill="auto"/>
          </w:tcPr>
          <w:p w:rsidR="00384A07" w:rsidRPr="00384A07" w:rsidRDefault="00384A07" w:rsidP="00384A07">
            <w:pPr>
              <w:pStyle w:val="Tabletext"/>
            </w:pPr>
          </w:p>
        </w:tc>
        <w:tc>
          <w:tcPr>
            <w:tcW w:w="2410" w:type="dxa"/>
            <w:shd w:val="clear" w:color="auto" w:fill="auto"/>
          </w:tcPr>
          <w:p w:rsidR="00384A07" w:rsidRPr="00384A07" w:rsidRDefault="00384A07" w:rsidP="00384A07">
            <w:pPr>
              <w:pStyle w:val="Tabletext"/>
            </w:pPr>
            <w:r w:rsidRPr="00384A07">
              <w:t>Female [R]</w:t>
            </w:r>
          </w:p>
        </w:tc>
        <w:tc>
          <w:tcPr>
            <w:tcW w:w="3827" w:type="dxa"/>
            <w:gridSpan w:val="3"/>
            <w:shd w:val="clear" w:color="auto" w:fill="auto"/>
          </w:tcPr>
          <w:p w:rsidR="00384A07" w:rsidRPr="00384A07" w:rsidRDefault="00384A07" w:rsidP="00384A07">
            <w:pPr>
              <w:pStyle w:val="Tabletext"/>
              <w:tabs>
                <w:tab w:val="decimal" w:pos="440"/>
                <w:tab w:val="decimal" w:pos="531"/>
              </w:tabs>
            </w:pPr>
          </w:p>
        </w:tc>
      </w:tr>
      <w:tr w:rsidR="00384A07" w:rsidRPr="00384A07" w:rsidTr="00FA0A74">
        <w:tc>
          <w:tcPr>
            <w:tcW w:w="2552" w:type="dxa"/>
            <w:shd w:val="clear" w:color="auto" w:fill="auto"/>
          </w:tcPr>
          <w:p w:rsidR="00384A07" w:rsidRPr="00384A07" w:rsidRDefault="00384A07" w:rsidP="00384A07">
            <w:pPr>
              <w:pStyle w:val="Tabletext"/>
            </w:pPr>
            <w:r w:rsidRPr="00384A07">
              <w:t>Indigenous status</w:t>
            </w:r>
          </w:p>
        </w:tc>
        <w:tc>
          <w:tcPr>
            <w:tcW w:w="2410" w:type="dxa"/>
            <w:shd w:val="clear" w:color="auto" w:fill="auto"/>
          </w:tcPr>
          <w:p w:rsidR="00384A07" w:rsidRPr="00384A07" w:rsidRDefault="00384A07" w:rsidP="00384A07">
            <w:pPr>
              <w:pStyle w:val="Tabletext"/>
            </w:pPr>
            <w:r w:rsidRPr="00384A07">
              <w:t>Indigenous</w:t>
            </w:r>
            <w:r w:rsidRPr="00384A07">
              <w:rPr>
                <w:vertAlign w:val="superscript"/>
              </w:rPr>
              <w:t>2</w:t>
            </w:r>
          </w:p>
        </w:tc>
        <w:tc>
          <w:tcPr>
            <w:tcW w:w="1275" w:type="dxa"/>
            <w:shd w:val="clear" w:color="auto" w:fill="auto"/>
          </w:tcPr>
          <w:p w:rsidR="00384A07" w:rsidRPr="00384A07" w:rsidRDefault="00384A07" w:rsidP="00384A07">
            <w:pPr>
              <w:pStyle w:val="Tabletext"/>
              <w:tabs>
                <w:tab w:val="decimal" w:pos="441"/>
              </w:tabs>
            </w:pPr>
            <w:r w:rsidRPr="00384A07">
              <w:t>0.77***</w:t>
            </w:r>
          </w:p>
        </w:tc>
        <w:tc>
          <w:tcPr>
            <w:tcW w:w="1276" w:type="dxa"/>
            <w:shd w:val="clear" w:color="auto" w:fill="auto"/>
          </w:tcPr>
          <w:p w:rsidR="00384A07" w:rsidRPr="00384A07" w:rsidRDefault="00384A07" w:rsidP="00384A07">
            <w:pPr>
              <w:pStyle w:val="Tabletext"/>
              <w:tabs>
                <w:tab w:val="decimal" w:pos="531"/>
              </w:tabs>
            </w:pPr>
            <w:r w:rsidRPr="00384A07">
              <w:t>1.03</w:t>
            </w:r>
          </w:p>
        </w:tc>
        <w:tc>
          <w:tcPr>
            <w:tcW w:w="1276" w:type="dxa"/>
            <w:shd w:val="clear" w:color="auto" w:fill="auto"/>
          </w:tcPr>
          <w:p w:rsidR="00384A07" w:rsidRPr="00384A07" w:rsidRDefault="00384A07" w:rsidP="00384A07">
            <w:pPr>
              <w:pStyle w:val="Tabletext"/>
              <w:tabs>
                <w:tab w:val="decimal" w:pos="440"/>
              </w:tabs>
            </w:pPr>
            <w:r w:rsidRPr="00384A07">
              <w:t>0.457</w:t>
            </w:r>
          </w:p>
        </w:tc>
      </w:tr>
      <w:tr w:rsidR="00384A07" w:rsidRPr="00384A07" w:rsidTr="00FA0A74">
        <w:tc>
          <w:tcPr>
            <w:tcW w:w="2552" w:type="dxa"/>
            <w:shd w:val="clear" w:color="auto" w:fill="auto"/>
          </w:tcPr>
          <w:p w:rsidR="00384A07" w:rsidRPr="00384A07" w:rsidRDefault="00384A07" w:rsidP="00384A07">
            <w:pPr>
              <w:pStyle w:val="Tabletext"/>
            </w:pPr>
          </w:p>
        </w:tc>
        <w:tc>
          <w:tcPr>
            <w:tcW w:w="2410" w:type="dxa"/>
            <w:shd w:val="clear" w:color="auto" w:fill="auto"/>
          </w:tcPr>
          <w:p w:rsidR="00384A07" w:rsidRPr="00384A07" w:rsidRDefault="00384A07" w:rsidP="00384A07">
            <w:pPr>
              <w:pStyle w:val="Tabletext"/>
            </w:pPr>
            <w:r w:rsidRPr="00384A07">
              <w:t>Non-Indigenous [R]</w:t>
            </w:r>
          </w:p>
        </w:tc>
        <w:tc>
          <w:tcPr>
            <w:tcW w:w="3827" w:type="dxa"/>
            <w:gridSpan w:val="3"/>
            <w:shd w:val="clear" w:color="auto" w:fill="auto"/>
          </w:tcPr>
          <w:p w:rsidR="00384A07" w:rsidRPr="00384A07" w:rsidRDefault="00384A07" w:rsidP="00384A07">
            <w:pPr>
              <w:pStyle w:val="Tabletext"/>
              <w:tabs>
                <w:tab w:val="decimal" w:pos="440"/>
                <w:tab w:val="decimal" w:pos="531"/>
              </w:tabs>
            </w:pPr>
          </w:p>
        </w:tc>
      </w:tr>
      <w:tr w:rsidR="00384A07" w:rsidRPr="00384A07" w:rsidTr="00FA0A74">
        <w:tc>
          <w:tcPr>
            <w:tcW w:w="2552" w:type="dxa"/>
            <w:shd w:val="clear" w:color="auto" w:fill="auto"/>
          </w:tcPr>
          <w:p w:rsidR="00384A07" w:rsidRPr="00384A07" w:rsidRDefault="00384A07" w:rsidP="00384A07">
            <w:pPr>
              <w:pStyle w:val="Tabletext"/>
            </w:pPr>
            <w:r w:rsidRPr="00384A07">
              <w:t>Location</w:t>
            </w:r>
          </w:p>
        </w:tc>
        <w:tc>
          <w:tcPr>
            <w:tcW w:w="2410" w:type="dxa"/>
            <w:shd w:val="clear" w:color="auto" w:fill="auto"/>
          </w:tcPr>
          <w:p w:rsidR="00384A07" w:rsidRPr="00384A07" w:rsidRDefault="00384A07" w:rsidP="00384A07">
            <w:pPr>
              <w:pStyle w:val="Tabletext"/>
            </w:pPr>
            <w:r w:rsidRPr="00384A07">
              <w:t>Regional/</w:t>
            </w:r>
            <w:r w:rsidR="00A721FC" w:rsidRPr="00384A07">
              <w:t>r</w:t>
            </w:r>
            <w:r w:rsidRPr="00384A07">
              <w:t>emote</w:t>
            </w:r>
          </w:p>
        </w:tc>
        <w:tc>
          <w:tcPr>
            <w:tcW w:w="1275" w:type="dxa"/>
            <w:shd w:val="clear" w:color="auto" w:fill="auto"/>
          </w:tcPr>
          <w:p w:rsidR="00384A07" w:rsidRPr="00384A07" w:rsidRDefault="00384A07" w:rsidP="00384A07">
            <w:pPr>
              <w:pStyle w:val="Tabletext"/>
              <w:tabs>
                <w:tab w:val="decimal" w:pos="441"/>
              </w:tabs>
            </w:pPr>
            <w:r w:rsidRPr="00384A07">
              <w:t>-0.95***</w:t>
            </w:r>
          </w:p>
        </w:tc>
        <w:tc>
          <w:tcPr>
            <w:tcW w:w="1276" w:type="dxa"/>
            <w:shd w:val="clear" w:color="auto" w:fill="auto"/>
          </w:tcPr>
          <w:p w:rsidR="00384A07" w:rsidRPr="00384A07" w:rsidRDefault="00384A07" w:rsidP="00384A07">
            <w:pPr>
              <w:pStyle w:val="Tabletext"/>
              <w:tabs>
                <w:tab w:val="decimal" w:pos="531"/>
              </w:tabs>
            </w:pPr>
            <w:r w:rsidRPr="00384A07">
              <w:t>0.52</w:t>
            </w:r>
          </w:p>
        </w:tc>
        <w:tc>
          <w:tcPr>
            <w:tcW w:w="1276" w:type="dxa"/>
            <w:shd w:val="clear" w:color="auto" w:fill="auto"/>
          </w:tcPr>
          <w:p w:rsidR="00384A07" w:rsidRPr="00384A07" w:rsidRDefault="00384A07" w:rsidP="00384A07">
            <w:pPr>
              <w:pStyle w:val="Tabletext"/>
              <w:tabs>
                <w:tab w:val="decimal" w:pos="440"/>
              </w:tabs>
            </w:pPr>
            <w:r w:rsidRPr="00384A07">
              <w:t>0.068</w:t>
            </w:r>
          </w:p>
        </w:tc>
      </w:tr>
      <w:tr w:rsidR="00384A07" w:rsidRPr="00384A07" w:rsidTr="00FA0A74">
        <w:tc>
          <w:tcPr>
            <w:tcW w:w="2552" w:type="dxa"/>
            <w:shd w:val="clear" w:color="auto" w:fill="auto"/>
          </w:tcPr>
          <w:p w:rsidR="00384A07" w:rsidRPr="00384A07" w:rsidRDefault="00384A07" w:rsidP="00384A07">
            <w:pPr>
              <w:pStyle w:val="Tabletext"/>
            </w:pPr>
          </w:p>
        </w:tc>
        <w:tc>
          <w:tcPr>
            <w:tcW w:w="2410" w:type="dxa"/>
            <w:shd w:val="clear" w:color="auto" w:fill="auto"/>
          </w:tcPr>
          <w:p w:rsidR="00384A07" w:rsidRPr="00384A07" w:rsidRDefault="00384A07" w:rsidP="00384A07">
            <w:pPr>
              <w:pStyle w:val="Tabletext"/>
            </w:pPr>
            <w:r w:rsidRPr="00384A07">
              <w:t>Metropolitan [R]</w:t>
            </w:r>
          </w:p>
        </w:tc>
        <w:tc>
          <w:tcPr>
            <w:tcW w:w="3827" w:type="dxa"/>
            <w:gridSpan w:val="3"/>
            <w:shd w:val="clear" w:color="auto" w:fill="auto"/>
          </w:tcPr>
          <w:p w:rsidR="00384A07" w:rsidRPr="00384A07" w:rsidRDefault="00384A07" w:rsidP="00384A07">
            <w:pPr>
              <w:pStyle w:val="Tabletext"/>
              <w:tabs>
                <w:tab w:val="decimal" w:pos="440"/>
                <w:tab w:val="decimal" w:pos="531"/>
              </w:tabs>
            </w:pPr>
          </w:p>
        </w:tc>
      </w:tr>
      <w:tr w:rsidR="00384A07" w:rsidRPr="00384A07" w:rsidTr="00FA0A74">
        <w:tc>
          <w:tcPr>
            <w:tcW w:w="2552" w:type="dxa"/>
            <w:shd w:val="clear" w:color="auto" w:fill="auto"/>
          </w:tcPr>
          <w:p w:rsidR="00384A07" w:rsidRPr="00384A07" w:rsidRDefault="00384A07" w:rsidP="00384A07">
            <w:pPr>
              <w:pStyle w:val="Tabletext"/>
            </w:pPr>
            <w:r w:rsidRPr="00384A07">
              <w:t>Family structure</w:t>
            </w:r>
          </w:p>
        </w:tc>
        <w:tc>
          <w:tcPr>
            <w:tcW w:w="2410" w:type="dxa"/>
            <w:shd w:val="clear" w:color="auto" w:fill="auto"/>
          </w:tcPr>
          <w:p w:rsidR="00384A07" w:rsidRPr="00384A07" w:rsidRDefault="00384A07" w:rsidP="00384A07">
            <w:pPr>
              <w:pStyle w:val="Tabletext"/>
            </w:pPr>
            <w:r w:rsidRPr="00384A07">
              <w:t>Non-nuclear family</w:t>
            </w:r>
          </w:p>
        </w:tc>
        <w:tc>
          <w:tcPr>
            <w:tcW w:w="1275" w:type="dxa"/>
            <w:shd w:val="clear" w:color="auto" w:fill="auto"/>
          </w:tcPr>
          <w:p w:rsidR="00384A07" w:rsidRPr="00384A07" w:rsidRDefault="00384A07" w:rsidP="00384A07">
            <w:pPr>
              <w:pStyle w:val="Tabletext"/>
              <w:tabs>
                <w:tab w:val="decimal" w:pos="441"/>
              </w:tabs>
            </w:pPr>
            <w:r w:rsidRPr="00384A07">
              <w:t>-1.02***</w:t>
            </w:r>
          </w:p>
        </w:tc>
        <w:tc>
          <w:tcPr>
            <w:tcW w:w="1276" w:type="dxa"/>
            <w:shd w:val="clear" w:color="auto" w:fill="auto"/>
          </w:tcPr>
          <w:p w:rsidR="00384A07" w:rsidRPr="00384A07" w:rsidRDefault="00384A07" w:rsidP="00384A07">
            <w:pPr>
              <w:pStyle w:val="Tabletext"/>
              <w:tabs>
                <w:tab w:val="decimal" w:pos="531"/>
              </w:tabs>
            </w:pPr>
            <w:r w:rsidRPr="00384A07">
              <w:t>0.55</w:t>
            </w:r>
          </w:p>
        </w:tc>
        <w:tc>
          <w:tcPr>
            <w:tcW w:w="1276" w:type="dxa"/>
            <w:shd w:val="clear" w:color="auto" w:fill="auto"/>
          </w:tcPr>
          <w:p w:rsidR="00384A07" w:rsidRPr="00384A07" w:rsidRDefault="00384A07" w:rsidP="00384A07">
            <w:pPr>
              <w:pStyle w:val="Tabletext"/>
              <w:tabs>
                <w:tab w:val="decimal" w:pos="440"/>
              </w:tabs>
            </w:pPr>
            <w:r w:rsidRPr="00384A07">
              <w:t>0.066</w:t>
            </w:r>
          </w:p>
        </w:tc>
      </w:tr>
      <w:tr w:rsidR="00384A07" w:rsidRPr="00384A07" w:rsidTr="00FA0A74">
        <w:tc>
          <w:tcPr>
            <w:tcW w:w="2552" w:type="dxa"/>
            <w:shd w:val="clear" w:color="auto" w:fill="auto"/>
          </w:tcPr>
          <w:p w:rsidR="00384A07" w:rsidRPr="00384A07" w:rsidRDefault="00384A07" w:rsidP="00384A07">
            <w:pPr>
              <w:pStyle w:val="Tabletext"/>
            </w:pPr>
          </w:p>
        </w:tc>
        <w:tc>
          <w:tcPr>
            <w:tcW w:w="2410" w:type="dxa"/>
            <w:shd w:val="clear" w:color="auto" w:fill="auto"/>
          </w:tcPr>
          <w:p w:rsidR="00384A07" w:rsidRPr="00384A07" w:rsidRDefault="00384A07" w:rsidP="00384A07">
            <w:pPr>
              <w:pStyle w:val="Tabletext"/>
            </w:pPr>
            <w:r w:rsidRPr="00384A07">
              <w:t>Nuclear family [R]</w:t>
            </w:r>
          </w:p>
        </w:tc>
        <w:tc>
          <w:tcPr>
            <w:tcW w:w="3827" w:type="dxa"/>
            <w:gridSpan w:val="3"/>
            <w:shd w:val="clear" w:color="auto" w:fill="auto"/>
          </w:tcPr>
          <w:p w:rsidR="00384A07" w:rsidRPr="00384A07" w:rsidRDefault="00384A07" w:rsidP="00384A07">
            <w:pPr>
              <w:pStyle w:val="Tabletext"/>
              <w:tabs>
                <w:tab w:val="decimal" w:pos="440"/>
                <w:tab w:val="decimal" w:pos="531"/>
              </w:tabs>
            </w:pPr>
          </w:p>
        </w:tc>
      </w:tr>
      <w:tr w:rsidR="00384A07" w:rsidRPr="00384A07" w:rsidTr="00FA0A74">
        <w:tc>
          <w:tcPr>
            <w:tcW w:w="2552" w:type="dxa"/>
            <w:shd w:val="clear" w:color="auto" w:fill="auto"/>
          </w:tcPr>
          <w:p w:rsidR="00384A07" w:rsidRPr="00384A07" w:rsidRDefault="00384A07" w:rsidP="00384A07">
            <w:pPr>
              <w:pStyle w:val="Tabletext"/>
            </w:pPr>
            <w:r w:rsidRPr="00384A07">
              <w:t>Immigration background</w:t>
            </w:r>
          </w:p>
        </w:tc>
        <w:tc>
          <w:tcPr>
            <w:tcW w:w="2410" w:type="dxa"/>
            <w:shd w:val="clear" w:color="auto" w:fill="auto"/>
          </w:tcPr>
          <w:p w:rsidR="00384A07" w:rsidRPr="00384A07" w:rsidRDefault="00384A07" w:rsidP="00384A07">
            <w:pPr>
              <w:pStyle w:val="Tabletext"/>
            </w:pPr>
            <w:r w:rsidRPr="00384A07">
              <w:t>First-generation students</w:t>
            </w:r>
          </w:p>
        </w:tc>
        <w:tc>
          <w:tcPr>
            <w:tcW w:w="1275" w:type="dxa"/>
            <w:shd w:val="clear" w:color="auto" w:fill="auto"/>
          </w:tcPr>
          <w:p w:rsidR="00384A07" w:rsidRPr="00384A07" w:rsidRDefault="00384A07" w:rsidP="00384A07">
            <w:pPr>
              <w:pStyle w:val="Tabletext"/>
              <w:tabs>
                <w:tab w:val="decimal" w:pos="441"/>
              </w:tabs>
            </w:pPr>
            <w:r w:rsidRPr="00384A07">
              <w:t>2.08***</w:t>
            </w:r>
          </w:p>
        </w:tc>
        <w:tc>
          <w:tcPr>
            <w:tcW w:w="1276" w:type="dxa"/>
            <w:shd w:val="clear" w:color="auto" w:fill="auto"/>
          </w:tcPr>
          <w:p w:rsidR="00384A07" w:rsidRPr="00384A07" w:rsidRDefault="00384A07" w:rsidP="00384A07">
            <w:pPr>
              <w:pStyle w:val="Tabletext"/>
              <w:tabs>
                <w:tab w:val="decimal" w:pos="531"/>
              </w:tabs>
            </w:pPr>
            <w:r w:rsidRPr="00384A07">
              <w:t>0.52</w:t>
            </w:r>
          </w:p>
        </w:tc>
        <w:tc>
          <w:tcPr>
            <w:tcW w:w="1276" w:type="dxa"/>
            <w:shd w:val="clear" w:color="auto" w:fill="auto"/>
          </w:tcPr>
          <w:p w:rsidR="00384A07" w:rsidRPr="00384A07" w:rsidRDefault="00384A07" w:rsidP="00384A07">
            <w:pPr>
              <w:pStyle w:val="Tabletext"/>
              <w:tabs>
                <w:tab w:val="decimal" w:pos="440"/>
              </w:tabs>
            </w:pPr>
            <w:r w:rsidRPr="00384A07">
              <w:t>&lt;.001</w:t>
            </w:r>
          </w:p>
        </w:tc>
      </w:tr>
      <w:tr w:rsidR="00384A07" w:rsidRPr="00384A07" w:rsidTr="00FA0A74">
        <w:tc>
          <w:tcPr>
            <w:tcW w:w="2552" w:type="dxa"/>
            <w:shd w:val="clear" w:color="auto" w:fill="auto"/>
          </w:tcPr>
          <w:p w:rsidR="00384A07" w:rsidRPr="00384A07" w:rsidRDefault="00384A07" w:rsidP="00384A07">
            <w:pPr>
              <w:pStyle w:val="Tabletext"/>
            </w:pPr>
          </w:p>
        </w:tc>
        <w:tc>
          <w:tcPr>
            <w:tcW w:w="2410" w:type="dxa"/>
            <w:shd w:val="clear" w:color="auto" w:fill="auto"/>
          </w:tcPr>
          <w:p w:rsidR="00384A07" w:rsidRPr="00384A07" w:rsidRDefault="00384A07" w:rsidP="00384A07">
            <w:pPr>
              <w:pStyle w:val="Tabletext"/>
            </w:pPr>
            <w:r w:rsidRPr="00384A07">
              <w:t>Foreign-born students</w:t>
            </w:r>
          </w:p>
        </w:tc>
        <w:tc>
          <w:tcPr>
            <w:tcW w:w="1275" w:type="dxa"/>
            <w:shd w:val="clear" w:color="auto" w:fill="auto"/>
          </w:tcPr>
          <w:p w:rsidR="00384A07" w:rsidRPr="00384A07" w:rsidRDefault="00384A07" w:rsidP="00384A07">
            <w:pPr>
              <w:pStyle w:val="Tabletext"/>
              <w:tabs>
                <w:tab w:val="decimal" w:pos="441"/>
              </w:tabs>
            </w:pPr>
            <w:r w:rsidRPr="00384A07">
              <w:t>6.19***</w:t>
            </w:r>
          </w:p>
        </w:tc>
        <w:tc>
          <w:tcPr>
            <w:tcW w:w="1276" w:type="dxa"/>
            <w:shd w:val="clear" w:color="auto" w:fill="auto"/>
          </w:tcPr>
          <w:p w:rsidR="00384A07" w:rsidRPr="00384A07" w:rsidRDefault="00384A07" w:rsidP="00384A07">
            <w:pPr>
              <w:pStyle w:val="Tabletext"/>
              <w:tabs>
                <w:tab w:val="decimal" w:pos="531"/>
              </w:tabs>
            </w:pPr>
            <w:r w:rsidRPr="00384A07">
              <w:t>0.74</w:t>
            </w:r>
          </w:p>
        </w:tc>
        <w:tc>
          <w:tcPr>
            <w:tcW w:w="1276" w:type="dxa"/>
            <w:shd w:val="clear" w:color="auto" w:fill="auto"/>
          </w:tcPr>
          <w:p w:rsidR="00384A07" w:rsidRPr="00384A07" w:rsidRDefault="00384A07" w:rsidP="00384A07">
            <w:pPr>
              <w:pStyle w:val="Tabletext"/>
              <w:tabs>
                <w:tab w:val="decimal" w:pos="440"/>
              </w:tabs>
            </w:pPr>
            <w:bookmarkStart w:id="65" w:name="OLE_LINK25"/>
            <w:bookmarkStart w:id="66" w:name="OLE_LINK26"/>
            <w:r w:rsidRPr="00384A07">
              <w:t>&lt;.001</w:t>
            </w:r>
            <w:bookmarkEnd w:id="65"/>
            <w:bookmarkEnd w:id="66"/>
          </w:p>
        </w:tc>
      </w:tr>
      <w:tr w:rsidR="00384A07" w:rsidRPr="00384A07" w:rsidTr="00FA0A74">
        <w:tc>
          <w:tcPr>
            <w:tcW w:w="2552" w:type="dxa"/>
            <w:shd w:val="clear" w:color="auto" w:fill="auto"/>
          </w:tcPr>
          <w:p w:rsidR="00384A07" w:rsidRPr="00384A07" w:rsidRDefault="00384A07" w:rsidP="00384A07">
            <w:pPr>
              <w:pStyle w:val="Tabletext"/>
            </w:pPr>
          </w:p>
        </w:tc>
        <w:tc>
          <w:tcPr>
            <w:tcW w:w="2410" w:type="dxa"/>
            <w:shd w:val="clear" w:color="auto" w:fill="auto"/>
          </w:tcPr>
          <w:p w:rsidR="00384A07" w:rsidRPr="00384A07" w:rsidRDefault="00384A07" w:rsidP="00384A07">
            <w:pPr>
              <w:pStyle w:val="Tabletext"/>
            </w:pPr>
            <w:r w:rsidRPr="00384A07">
              <w:t>Australian-born students [R]</w:t>
            </w:r>
          </w:p>
        </w:tc>
        <w:tc>
          <w:tcPr>
            <w:tcW w:w="3827" w:type="dxa"/>
            <w:gridSpan w:val="3"/>
            <w:shd w:val="clear" w:color="auto" w:fill="auto"/>
          </w:tcPr>
          <w:p w:rsidR="00384A07" w:rsidRPr="00384A07" w:rsidRDefault="00384A07" w:rsidP="00384A07">
            <w:pPr>
              <w:pStyle w:val="Tabletext"/>
              <w:tabs>
                <w:tab w:val="decimal" w:pos="440"/>
                <w:tab w:val="decimal" w:pos="531"/>
              </w:tabs>
            </w:pPr>
          </w:p>
        </w:tc>
      </w:tr>
      <w:tr w:rsidR="00384A07" w:rsidRPr="00384A07" w:rsidTr="00FA0A74">
        <w:tc>
          <w:tcPr>
            <w:tcW w:w="2552" w:type="dxa"/>
            <w:shd w:val="clear" w:color="auto" w:fill="auto"/>
          </w:tcPr>
          <w:p w:rsidR="00384A07" w:rsidRPr="00384A07" w:rsidRDefault="00384A07" w:rsidP="00384A07">
            <w:pPr>
              <w:pStyle w:val="Tabletext"/>
            </w:pPr>
            <w:r w:rsidRPr="00384A07">
              <w:t>SES</w:t>
            </w:r>
          </w:p>
        </w:tc>
        <w:tc>
          <w:tcPr>
            <w:tcW w:w="2410" w:type="dxa"/>
            <w:shd w:val="clear" w:color="auto" w:fill="auto"/>
          </w:tcPr>
          <w:p w:rsidR="00384A07" w:rsidRPr="00384A07" w:rsidRDefault="00384A07" w:rsidP="00384A07">
            <w:pPr>
              <w:pStyle w:val="Tabletext"/>
            </w:pPr>
            <w:r w:rsidRPr="00384A07">
              <w:t>Continuous (std)</w:t>
            </w:r>
          </w:p>
        </w:tc>
        <w:tc>
          <w:tcPr>
            <w:tcW w:w="1275" w:type="dxa"/>
            <w:shd w:val="clear" w:color="auto" w:fill="auto"/>
          </w:tcPr>
          <w:p w:rsidR="00384A07" w:rsidRPr="00384A07" w:rsidRDefault="00384A07" w:rsidP="00384A07">
            <w:pPr>
              <w:pStyle w:val="Tabletext"/>
              <w:tabs>
                <w:tab w:val="decimal" w:pos="441"/>
              </w:tabs>
            </w:pPr>
            <w:r w:rsidRPr="00384A07">
              <w:t>2.02***</w:t>
            </w:r>
          </w:p>
        </w:tc>
        <w:tc>
          <w:tcPr>
            <w:tcW w:w="1276" w:type="dxa"/>
            <w:shd w:val="clear" w:color="auto" w:fill="auto"/>
          </w:tcPr>
          <w:p w:rsidR="00384A07" w:rsidRPr="00384A07" w:rsidRDefault="00384A07" w:rsidP="00384A07">
            <w:pPr>
              <w:pStyle w:val="Tabletext"/>
              <w:tabs>
                <w:tab w:val="decimal" w:pos="531"/>
              </w:tabs>
            </w:pPr>
            <w:r w:rsidRPr="00384A07">
              <w:t>0.26</w:t>
            </w:r>
          </w:p>
        </w:tc>
        <w:tc>
          <w:tcPr>
            <w:tcW w:w="1276" w:type="dxa"/>
            <w:shd w:val="clear" w:color="auto" w:fill="auto"/>
          </w:tcPr>
          <w:p w:rsidR="00384A07" w:rsidRPr="00384A07" w:rsidRDefault="00384A07" w:rsidP="00384A07">
            <w:pPr>
              <w:pStyle w:val="Tabletext"/>
              <w:tabs>
                <w:tab w:val="decimal" w:pos="440"/>
              </w:tabs>
            </w:pPr>
            <w:r w:rsidRPr="00384A07">
              <w:t>&lt;.001</w:t>
            </w:r>
          </w:p>
        </w:tc>
      </w:tr>
      <w:tr w:rsidR="00384A07" w:rsidRPr="00384A07" w:rsidTr="00FA0A74">
        <w:tc>
          <w:tcPr>
            <w:tcW w:w="2552" w:type="dxa"/>
            <w:shd w:val="clear" w:color="auto" w:fill="auto"/>
          </w:tcPr>
          <w:p w:rsidR="00384A07" w:rsidRPr="00384A07" w:rsidRDefault="00384A07" w:rsidP="00384A07">
            <w:pPr>
              <w:pStyle w:val="Tabletext"/>
            </w:pPr>
            <w:r w:rsidRPr="00384A07">
              <w:t>Attitudes to school</w:t>
            </w:r>
          </w:p>
        </w:tc>
        <w:tc>
          <w:tcPr>
            <w:tcW w:w="2410" w:type="dxa"/>
            <w:shd w:val="clear" w:color="auto" w:fill="auto"/>
          </w:tcPr>
          <w:p w:rsidR="00384A07" w:rsidRPr="00384A07" w:rsidRDefault="00384A07" w:rsidP="00384A07">
            <w:pPr>
              <w:pStyle w:val="Tabletext"/>
            </w:pPr>
            <w:r w:rsidRPr="00384A07">
              <w:t>Continuous (std)</w:t>
            </w:r>
          </w:p>
        </w:tc>
        <w:tc>
          <w:tcPr>
            <w:tcW w:w="1275" w:type="dxa"/>
            <w:shd w:val="clear" w:color="auto" w:fill="auto"/>
          </w:tcPr>
          <w:p w:rsidR="00384A07" w:rsidRPr="00384A07" w:rsidRDefault="00384A07" w:rsidP="00384A07">
            <w:pPr>
              <w:pStyle w:val="Tabletext"/>
              <w:tabs>
                <w:tab w:val="decimal" w:pos="441"/>
              </w:tabs>
            </w:pPr>
            <w:r w:rsidRPr="00384A07">
              <w:t>1.55***</w:t>
            </w:r>
          </w:p>
        </w:tc>
        <w:tc>
          <w:tcPr>
            <w:tcW w:w="1276" w:type="dxa"/>
            <w:shd w:val="clear" w:color="auto" w:fill="auto"/>
          </w:tcPr>
          <w:p w:rsidR="00384A07" w:rsidRPr="00384A07" w:rsidRDefault="00384A07" w:rsidP="00384A07">
            <w:pPr>
              <w:pStyle w:val="Tabletext"/>
              <w:tabs>
                <w:tab w:val="decimal" w:pos="531"/>
              </w:tabs>
            </w:pPr>
            <w:r w:rsidRPr="00384A07">
              <w:t>0.26</w:t>
            </w:r>
          </w:p>
        </w:tc>
        <w:tc>
          <w:tcPr>
            <w:tcW w:w="1276" w:type="dxa"/>
            <w:shd w:val="clear" w:color="auto" w:fill="auto"/>
          </w:tcPr>
          <w:p w:rsidR="00384A07" w:rsidRPr="00384A07" w:rsidRDefault="00384A07" w:rsidP="00384A07">
            <w:pPr>
              <w:pStyle w:val="Tabletext"/>
              <w:tabs>
                <w:tab w:val="decimal" w:pos="440"/>
              </w:tabs>
            </w:pPr>
            <w:r w:rsidRPr="00384A07">
              <w:t>&lt;.001</w:t>
            </w:r>
          </w:p>
        </w:tc>
      </w:tr>
      <w:tr w:rsidR="00384A07" w:rsidRPr="00384A07" w:rsidTr="00FA0A74">
        <w:tc>
          <w:tcPr>
            <w:tcW w:w="2552" w:type="dxa"/>
            <w:shd w:val="clear" w:color="auto" w:fill="auto"/>
          </w:tcPr>
          <w:p w:rsidR="00384A07" w:rsidRPr="00384A07" w:rsidRDefault="00384A07" w:rsidP="00384A07">
            <w:pPr>
              <w:pStyle w:val="Tabletext"/>
            </w:pPr>
            <w:r w:rsidRPr="00384A07">
              <w:t>Teacher quality</w:t>
            </w:r>
          </w:p>
        </w:tc>
        <w:tc>
          <w:tcPr>
            <w:tcW w:w="2410" w:type="dxa"/>
            <w:shd w:val="clear" w:color="auto" w:fill="auto"/>
          </w:tcPr>
          <w:p w:rsidR="00384A07" w:rsidRPr="00384A07" w:rsidRDefault="00384A07" w:rsidP="00384A07">
            <w:pPr>
              <w:pStyle w:val="Tabletext"/>
            </w:pPr>
            <w:r w:rsidRPr="00384A07">
              <w:t>Continuous (std)</w:t>
            </w:r>
          </w:p>
        </w:tc>
        <w:tc>
          <w:tcPr>
            <w:tcW w:w="1275" w:type="dxa"/>
            <w:shd w:val="clear" w:color="auto" w:fill="auto"/>
          </w:tcPr>
          <w:p w:rsidR="00384A07" w:rsidRPr="00384A07" w:rsidRDefault="00384A07" w:rsidP="00384A07">
            <w:pPr>
              <w:pStyle w:val="Tabletext"/>
              <w:tabs>
                <w:tab w:val="decimal" w:pos="441"/>
              </w:tabs>
            </w:pPr>
            <w:r w:rsidRPr="00384A07">
              <w:t>-0.03***</w:t>
            </w:r>
          </w:p>
        </w:tc>
        <w:tc>
          <w:tcPr>
            <w:tcW w:w="1276" w:type="dxa"/>
            <w:shd w:val="clear" w:color="auto" w:fill="auto"/>
          </w:tcPr>
          <w:p w:rsidR="00384A07" w:rsidRPr="00384A07" w:rsidRDefault="00384A07" w:rsidP="00384A07">
            <w:pPr>
              <w:pStyle w:val="Tabletext"/>
              <w:tabs>
                <w:tab w:val="decimal" w:pos="531"/>
              </w:tabs>
            </w:pPr>
            <w:r w:rsidRPr="00384A07">
              <w:t>0.27</w:t>
            </w:r>
          </w:p>
        </w:tc>
        <w:tc>
          <w:tcPr>
            <w:tcW w:w="1276" w:type="dxa"/>
            <w:shd w:val="clear" w:color="auto" w:fill="auto"/>
          </w:tcPr>
          <w:p w:rsidR="00384A07" w:rsidRPr="00384A07" w:rsidRDefault="00384A07" w:rsidP="00384A07">
            <w:pPr>
              <w:pStyle w:val="Tabletext"/>
              <w:tabs>
                <w:tab w:val="decimal" w:pos="440"/>
              </w:tabs>
            </w:pPr>
            <w:r w:rsidRPr="00384A07">
              <w:t>0.904</w:t>
            </w:r>
          </w:p>
        </w:tc>
      </w:tr>
      <w:tr w:rsidR="00384A07" w:rsidRPr="00384A07" w:rsidTr="00FA0A74">
        <w:tc>
          <w:tcPr>
            <w:tcW w:w="2552" w:type="dxa"/>
            <w:shd w:val="clear" w:color="auto" w:fill="auto"/>
          </w:tcPr>
          <w:p w:rsidR="00384A07" w:rsidRPr="00384A07" w:rsidRDefault="00384A07" w:rsidP="00A721FC">
            <w:pPr>
              <w:pStyle w:val="Tabletext"/>
            </w:pPr>
            <w:r w:rsidRPr="00384A07">
              <w:t>Teacher</w:t>
            </w:r>
            <w:r w:rsidR="00A721FC">
              <w:t>–</w:t>
            </w:r>
            <w:r w:rsidRPr="00384A07">
              <w:t>student relations</w:t>
            </w:r>
          </w:p>
        </w:tc>
        <w:tc>
          <w:tcPr>
            <w:tcW w:w="2410" w:type="dxa"/>
            <w:shd w:val="clear" w:color="auto" w:fill="auto"/>
          </w:tcPr>
          <w:p w:rsidR="00384A07" w:rsidRPr="00384A07" w:rsidRDefault="00384A07" w:rsidP="00384A07">
            <w:pPr>
              <w:pStyle w:val="Tabletext"/>
            </w:pPr>
            <w:r w:rsidRPr="00384A07">
              <w:t>Continuous (std)</w:t>
            </w:r>
          </w:p>
        </w:tc>
        <w:tc>
          <w:tcPr>
            <w:tcW w:w="1275" w:type="dxa"/>
            <w:shd w:val="clear" w:color="auto" w:fill="auto"/>
          </w:tcPr>
          <w:p w:rsidR="00384A07" w:rsidRPr="00384A07" w:rsidRDefault="00384A07" w:rsidP="00384A07">
            <w:pPr>
              <w:pStyle w:val="Tabletext"/>
              <w:tabs>
                <w:tab w:val="decimal" w:pos="441"/>
              </w:tabs>
            </w:pPr>
            <w:r w:rsidRPr="00384A07">
              <w:t>0.91***</w:t>
            </w:r>
          </w:p>
        </w:tc>
        <w:tc>
          <w:tcPr>
            <w:tcW w:w="1276" w:type="dxa"/>
            <w:shd w:val="clear" w:color="auto" w:fill="auto"/>
          </w:tcPr>
          <w:p w:rsidR="00384A07" w:rsidRPr="00384A07" w:rsidRDefault="00384A07" w:rsidP="00384A07">
            <w:pPr>
              <w:pStyle w:val="Tabletext"/>
              <w:tabs>
                <w:tab w:val="decimal" w:pos="531"/>
              </w:tabs>
            </w:pPr>
            <w:r w:rsidRPr="00384A07">
              <w:t>0.30</w:t>
            </w:r>
          </w:p>
        </w:tc>
        <w:tc>
          <w:tcPr>
            <w:tcW w:w="1276" w:type="dxa"/>
            <w:shd w:val="clear" w:color="auto" w:fill="auto"/>
          </w:tcPr>
          <w:p w:rsidR="00384A07" w:rsidRPr="00384A07" w:rsidRDefault="00384A07" w:rsidP="00384A07">
            <w:pPr>
              <w:pStyle w:val="Tabletext"/>
              <w:tabs>
                <w:tab w:val="decimal" w:pos="440"/>
              </w:tabs>
            </w:pPr>
            <w:r w:rsidRPr="00384A07">
              <w:t>0.003</w:t>
            </w:r>
          </w:p>
        </w:tc>
      </w:tr>
      <w:tr w:rsidR="00384A07" w:rsidRPr="00384A07" w:rsidTr="00FA0A74">
        <w:tc>
          <w:tcPr>
            <w:tcW w:w="2552" w:type="dxa"/>
            <w:shd w:val="clear" w:color="auto" w:fill="auto"/>
          </w:tcPr>
          <w:p w:rsidR="00384A07" w:rsidRPr="00384A07" w:rsidRDefault="00384A07" w:rsidP="00384A07">
            <w:pPr>
              <w:pStyle w:val="Tabletext"/>
            </w:pPr>
            <w:r w:rsidRPr="00384A07">
              <w:t>Disciplinary climate</w:t>
            </w:r>
          </w:p>
        </w:tc>
        <w:tc>
          <w:tcPr>
            <w:tcW w:w="2410" w:type="dxa"/>
            <w:shd w:val="clear" w:color="auto" w:fill="auto"/>
          </w:tcPr>
          <w:p w:rsidR="00384A07" w:rsidRPr="00384A07" w:rsidRDefault="00384A07" w:rsidP="00384A07">
            <w:pPr>
              <w:pStyle w:val="Tabletext"/>
            </w:pPr>
            <w:r w:rsidRPr="00384A07">
              <w:t>Continuous (std)</w:t>
            </w:r>
          </w:p>
        </w:tc>
        <w:tc>
          <w:tcPr>
            <w:tcW w:w="1275" w:type="dxa"/>
            <w:shd w:val="clear" w:color="auto" w:fill="auto"/>
          </w:tcPr>
          <w:p w:rsidR="00384A07" w:rsidRPr="00384A07" w:rsidRDefault="00384A07" w:rsidP="00384A07">
            <w:pPr>
              <w:pStyle w:val="Tabletext"/>
              <w:tabs>
                <w:tab w:val="decimal" w:pos="441"/>
              </w:tabs>
            </w:pPr>
            <w:r w:rsidRPr="00384A07">
              <w:t>0.54***</w:t>
            </w:r>
          </w:p>
        </w:tc>
        <w:tc>
          <w:tcPr>
            <w:tcW w:w="1276" w:type="dxa"/>
            <w:shd w:val="clear" w:color="auto" w:fill="auto"/>
          </w:tcPr>
          <w:p w:rsidR="00384A07" w:rsidRPr="00384A07" w:rsidRDefault="00384A07" w:rsidP="00384A07">
            <w:pPr>
              <w:pStyle w:val="Tabletext"/>
              <w:tabs>
                <w:tab w:val="decimal" w:pos="531"/>
              </w:tabs>
            </w:pPr>
            <w:r w:rsidRPr="00384A07">
              <w:t>0.25</w:t>
            </w:r>
          </w:p>
        </w:tc>
        <w:tc>
          <w:tcPr>
            <w:tcW w:w="1276" w:type="dxa"/>
            <w:shd w:val="clear" w:color="auto" w:fill="auto"/>
          </w:tcPr>
          <w:p w:rsidR="00384A07" w:rsidRPr="00384A07" w:rsidRDefault="00384A07" w:rsidP="00384A07">
            <w:pPr>
              <w:pStyle w:val="Tabletext"/>
              <w:tabs>
                <w:tab w:val="decimal" w:pos="440"/>
              </w:tabs>
            </w:pPr>
            <w:r w:rsidRPr="00384A07">
              <w:t>0.030</w:t>
            </w:r>
          </w:p>
        </w:tc>
      </w:tr>
      <w:tr w:rsidR="00384A07" w:rsidRPr="00384A07" w:rsidTr="00FA0A74">
        <w:tc>
          <w:tcPr>
            <w:tcW w:w="2552" w:type="dxa"/>
            <w:shd w:val="clear" w:color="auto" w:fill="auto"/>
          </w:tcPr>
          <w:p w:rsidR="00384A07" w:rsidRPr="00384A07" w:rsidRDefault="00384A07" w:rsidP="00384A07">
            <w:pPr>
              <w:pStyle w:val="Tabletext"/>
            </w:pPr>
            <w:r w:rsidRPr="00384A07">
              <w:t>Academic performance</w:t>
            </w:r>
            <w:r w:rsidRPr="00384A07">
              <w:rPr>
                <w:vertAlign w:val="superscript"/>
              </w:rPr>
              <w:t>3</w:t>
            </w:r>
          </w:p>
        </w:tc>
        <w:tc>
          <w:tcPr>
            <w:tcW w:w="2410" w:type="dxa"/>
            <w:shd w:val="clear" w:color="auto" w:fill="auto"/>
          </w:tcPr>
          <w:p w:rsidR="00384A07" w:rsidRPr="00384A07" w:rsidRDefault="00384A07" w:rsidP="00384A07">
            <w:pPr>
              <w:pStyle w:val="Tabletext"/>
            </w:pPr>
            <w:r w:rsidRPr="00384A07">
              <w:t>Continuous</w:t>
            </w:r>
          </w:p>
        </w:tc>
        <w:tc>
          <w:tcPr>
            <w:tcW w:w="1275" w:type="dxa"/>
            <w:shd w:val="clear" w:color="auto" w:fill="auto"/>
          </w:tcPr>
          <w:p w:rsidR="00384A07" w:rsidRPr="00384A07" w:rsidRDefault="00384A07" w:rsidP="00384A07">
            <w:pPr>
              <w:pStyle w:val="Tabletext"/>
              <w:tabs>
                <w:tab w:val="decimal" w:pos="441"/>
              </w:tabs>
            </w:pPr>
            <w:r w:rsidRPr="00384A07">
              <w:t>7.29***</w:t>
            </w:r>
          </w:p>
        </w:tc>
        <w:tc>
          <w:tcPr>
            <w:tcW w:w="1276" w:type="dxa"/>
            <w:shd w:val="clear" w:color="auto" w:fill="auto"/>
          </w:tcPr>
          <w:p w:rsidR="00384A07" w:rsidRPr="00384A07" w:rsidRDefault="00384A07" w:rsidP="00384A07">
            <w:pPr>
              <w:pStyle w:val="Tabletext"/>
              <w:tabs>
                <w:tab w:val="decimal" w:pos="531"/>
              </w:tabs>
            </w:pPr>
            <w:r w:rsidRPr="00384A07">
              <w:t>0.35</w:t>
            </w:r>
          </w:p>
        </w:tc>
        <w:tc>
          <w:tcPr>
            <w:tcW w:w="1276" w:type="dxa"/>
            <w:shd w:val="clear" w:color="auto" w:fill="auto"/>
          </w:tcPr>
          <w:p w:rsidR="00384A07" w:rsidRPr="00384A07" w:rsidRDefault="00384A07" w:rsidP="00384A07">
            <w:pPr>
              <w:pStyle w:val="Tabletext"/>
              <w:tabs>
                <w:tab w:val="decimal" w:pos="440"/>
              </w:tabs>
            </w:pPr>
            <w:r w:rsidRPr="00384A07">
              <w:t>&lt;.001</w:t>
            </w:r>
          </w:p>
        </w:tc>
      </w:tr>
      <w:tr w:rsidR="00384A07" w:rsidRPr="00384A07" w:rsidTr="00FA0A74">
        <w:tc>
          <w:tcPr>
            <w:tcW w:w="2552" w:type="dxa"/>
            <w:shd w:val="clear" w:color="auto" w:fill="auto"/>
          </w:tcPr>
          <w:p w:rsidR="00384A07" w:rsidRPr="00384A07" w:rsidRDefault="00384A07" w:rsidP="00384A07">
            <w:pPr>
              <w:pStyle w:val="Tabletext"/>
            </w:pPr>
            <w:r w:rsidRPr="00384A07">
              <w:t>Peers’ higher ed. aspirations</w:t>
            </w:r>
          </w:p>
        </w:tc>
        <w:tc>
          <w:tcPr>
            <w:tcW w:w="2410" w:type="dxa"/>
            <w:shd w:val="clear" w:color="auto" w:fill="auto"/>
          </w:tcPr>
          <w:p w:rsidR="00384A07" w:rsidRPr="00384A07" w:rsidRDefault="00384A07" w:rsidP="00384A07">
            <w:pPr>
              <w:pStyle w:val="Tabletext"/>
            </w:pPr>
            <w:r w:rsidRPr="00384A07">
              <w:t>University</w:t>
            </w:r>
          </w:p>
        </w:tc>
        <w:tc>
          <w:tcPr>
            <w:tcW w:w="1275" w:type="dxa"/>
            <w:shd w:val="clear" w:color="auto" w:fill="auto"/>
          </w:tcPr>
          <w:p w:rsidR="00384A07" w:rsidRPr="00384A07" w:rsidRDefault="00384A07" w:rsidP="00384A07">
            <w:pPr>
              <w:pStyle w:val="Tabletext"/>
              <w:tabs>
                <w:tab w:val="decimal" w:pos="441"/>
              </w:tabs>
            </w:pPr>
            <w:r w:rsidRPr="00384A07">
              <w:t>1.51***</w:t>
            </w:r>
          </w:p>
        </w:tc>
        <w:tc>
          <w:tcPr>
            <w:tcW w:w="1276" w:type="dxa"/>
            <w:shd w:val="clear" w:color="auto" w:fill="auto"/>
          </w:tcPr>
          <w:p w:rsidR="00384A07" w:rsidRPr="00384A07" w:rsidRDefault="00384A07" w:rsidP="00384A07">
            <w:pPr>
              <w:pStyle w:val="Tabletext"/>
              <w:tabs>
                <w:tab w:val="decimal" w:pos="531"/>
              </w:tabs>
            </w:pPr>
            <w:r w:rsidRPr="00384A07">
              <w:t>0.59</w:t>
            </w:r>
          </w:p>
        </w:tc>
        <w:tc>
          <w:tcPr>
            <w:tcW w:w="1276" w:type="dxa"/>
            <w:shd w:val="clear" w:color="auto" w:fill="auto"/>
          </w:tcPr>
          <w:p w:rsidR="00384A07" w:rsidRPr="00384A07" w:rsidRDefault="00384A07" w:rsidP="00384A07">
            <w:pPr>
              <w:pStyle w:val="Tabletext"/>
              <w:tabs>
                <w:tab w:val="decimal" w:pos="440"/>
              </w:tabs>
            </w:pPr>
            <w:r w:rsidRPr="00384A07">
              <w:t>0.013</w:t>
            </w:r>
          </w:p>
        </w:tc>
      </w:tr>
      <w:tr w:rsidR="00384A07" w:rsidRPr="00384A07" w:rsidTr="00FA0A74">
        <w:tc>
          <w:tcPr>
            <w:tcW w:w="2552" w:type="dxa"/>
            <w:shd w:val="clear" w:color="auto" w:fill="auto"/>
          </w:tcPr>
          <w:p w:rsidR="00384A07" w:rsidRPr="00384A07" w:rsidRDefault="00384A07" w:rsidP="00384A07">
            <w:pPr>
              <w:pStyle w:val="Tabletext"/>
            </w:pPr>
          </w:p>
        </w:tc>
        <w:tc>
          <w:tcPr>
            <w:tcW w:w="2410" w:type="dxa"/>
            <w:shd w:val="clear" w:color="auto" w:fill="auto"/>
          </w:tcPr>
          <w:p w:rsidR="00384A07" w:rsidRPr="00384A07" w:rsidRDefault="00384A07" w:rsidP="00384A07">
            <w:pPr>
              <w:pStyle w:val="Tabletext"/>
            </w:pPr>
            <w:r w:rsidRPr="00384A07">
              <w:t>Not university [R]</w:t>
            </w:r>
          </w:p>
        </w:tc>
        <w:tc>
          <w:tcPr>
            <w:tcW w:w="3827" w:type="dxa"/>
            <w:gridSpan w:val="3"/>
            <w:shd w:val="clear" w:color="auto" w:fill="auto"/>
          </w:tcPr>
          <w:p w:rsidR="00384A07" w:rsidRPr="00384A07" w:rsidRDefault="00384A07" w:rsidP="00384A07">
            <w:pPr>
              <w:pStyle w:val="Tabletext"/>
              <w:tabs>
                <w:tab w:val="decimal" w:pos="440"/>
                <w:tab w:val="decimal" w:pos="531"/>
              </w:tabs>
            </w:pPr>
          </w:p>
        </w:tc>
      </w:tr>
      <w:tr w:rsidR="00384A07" w:rsidRPr="00384A07" w:rsidTr="00FA0A74">
        <w:tc>
          <w:tcPr>
            <w:tcW w:w="2552" w:type="dxa"/>
            <w:shd w:val="clear" w:color="auto" w:fill="auto"/>
          </w:tcPr>
          <w:p w:rsidR="00384A07" w:rsidRPr="00384A07" w:rsidRDefault="00384A07" w:rsidP="00384A07">
            <w:pPr>
              <w:pStyle w:val="Tabletext"/>
            </w:pPr>
            <w:r w:rsidRPr="00384A07">
              <w:t>Parents’ higher ed. aspirations</w:t>
            </w:r>
          </w:p>
        </w:tc>
        <w:tc>
          <w:tcPr>
            <w:tcW w:w="2410" w:type="dxa"/>
            <w:shd w:val="clear" w:color="auto" w:fill="auto"/>
          </w:tcPr>
          <w:p w:rsidR="00384A07" w:rsidRPr="00384A07" w:rsidRDefault="00384A07" w:rsidP="00384A07">
            <w:pPr>
              <w:pStyle w:val="Tabletext"/>
            </w:pPr>
            <w:r w:rsidRPr="00384A07">
              <w:t>University</w:t>
            </w:r>
          </w:p>
        </w:tc>
        <w:tc>
          <w:tcPr>
            <w:tcW w:w="1275" w:type="dxa"/>
            <w:shd w:val="clear" w:color="auto" w:fill="auto"/>
          </w:tcPr>
          <w:p w:rsidR="00384A07" w:rsidRPr="00384A07" w:rsidRDefault="00384A07" w:rsidP="00384A07">
            <w:pPr>
              <w:pStyle w:val="Tabletext"/>
              <w:tabs>
                <w:tab w:val="decimal" w:pos="441"/>
              </w:tabs>
            </w:pPr>
            <w:r w:rsidRPr="00384A07">
              <w:t>12.01***</w:t>
            </w:r>
          </w:p>
        </w:tc>
        <w:tc>
          <w:tcPr>
            <w:tcW w:w="1276" w:type="dxa"/>
            <w:shd w:val="clear" w:color="auto" w:fill="auto"/>
          </w:tcPr>
          <w:p w:rsidR="00384A07" w:rsidRPr="00384A07" w:rsidRDefault="00384A07" w:rsidP="00384A07">
            <w:pPr>
              <w:pStyle w:val="Tabletext"/>
              <w:tabs>
                <w:tab w:val="decimal" w:pos="531"/>
              </w:tabs>
            </w:pPr>
            <w:r w:rsidRPr="00384A07">
              <w:t>0.59</w:t>
            </w:r>
          </w:p>
        </w:tc>
        <w:tc>
          <w:tcPr>
            <w:tcW w:w="1276" w:type="dxa"/>
            <w:shd w:val="clear" w:color="auto" w:fill="auto"/>
          </w:tcPr>
          <w:p w:rsidR="00384A07" w:rsidRPr="00384A07" w:rsidRDefault="00384A07" w:rsidP="00384A07">
            <w:pPr>
              <w:pStyle w:val="Tabletext"/>
              <w:tabs>
                <w:tab w:val="decimal" w:pos="440"/>
              </w:tabs>
            </w:pPr>
            <w:r w:rsidRPr="00384A07">
              <w:t>&lt;.001</w:t>
            </w:r>
          </w:p>
        </w:tc>
      </w:tr>
      <w:tr w:rsidR="00384A07" w:rsidRPr="00384A07" w:rsidTr="00FA0A74">
        <w:tc>
          <w:tcPr>
            <w:tcW w:w="2552" w:type="dxa"/>
            <w:tcBorders>
              <w:bottom w:val="dashed" w:sz="4" w:space="0" w:color="auto"/>
            </w:tcBorders>
            <w:shd w:val="clear" w:color="auto" w:fill="auto"/>
          </w:tcPr>
          <w:p w:rsidR="00384A07" w:rsidRPr="00384A07" w:rsidRDefault="00384A07" w:rsidP="00384A07">
            <w:pPr>
              <w:pStyle w:val="Tabletext"/>
            </w:pPr>
          </w:p>
        </w:tc>
        <w:tc>
          <w:tcPr>
            <w:tcW w:w="2410" w:type="dxa"/>
            <w:tcBorders>
              <w:bottom w:val="dashed" w:sz="4" w:space="0" w:color="auto"/>
            </w:tcBorders>
            <w:shd w:val="clear" w:color="auto" w:fill="auto"/>
          </w:tcPr>
          <w:p w:rsidR="00384A07" w:rsidRPr="00384A07" w:rsidRDefault="00384A07" w:rsidP="00384A07">
            <w:pPr>
              <w:pStyle w:val="Tabletext"/>
            </w:pPr>
            <w:r w:rsidRPr="00384A07">
              <w:t>Not university [R]</w:t>
            </w:r>
          </w:p>
        </w:tc>
        <w:tc>
          <w:tcPr>
            <w:tcW w:w="3827" w:type="dxa"/>
            <w:gridSpan w:val="3"/>
            <w:tcBorders>
              <w:bottom w:val="dashed" w:sz="4" w:space="0" w:color="auto"/>
            </w:tcBorders>
            <w:shd w:val="clear" w:color="auto" w:fill="auto"/>
          </w:tcPr>
          <w:p w:rsidR="00384A07" w:rsidRPr="00384A07" w:rsidRDefault="00384A07" w:rsidP="00384A07">
            <w:pPr>
              <w:pStyle w:val="Tabletext"/>
              <w:tabs>
                <w:tab w:val="decimal" w:pos="440"/>
                <w:tab w:val="decimal" w:pos="531"/>
              </w:tabs>
            </w:pPr>
          </w:p>
        </w:tc>
      </w:tr>
      <w:tr w:rsidR="00384A07" w:rsidRPr="00384A07" w:rsidTr="00FA0A74">
        <w:tc>
          <w:tcPr>
            <w:tcW w:w="2552" w:type="dxa"/>
            <w:tcBorders>
              <w:top w:val="dashed" w:sz="4" w:space="0" w:color="auto"/>
            </w:tcBorders>
            <w:shd w:val="clear" w:color="auto" w:fill="auto"/>
          </w:tcPr>
          <w:p w:rsidR="00384A07" w:rsidRPr="00384A07" w:rsidRDefault="00384A07" w:rsidP="00384A07">
            <w:pPr>
              <w:pStyle w:val="Tabletext"/>
            </w:pPr>
            <w:r w:rsidRPr="00384A07">
              <w:t>Constant</w:t>
            </w:r>
          </w:p>
        </w:tc>
        <w:tc>
          <w:tcPr>
            <w:tcW w:w="2410" w:type="dxa"/>
            <w:tcBorders>
              <w:top w:val="dashed" w:sz="4" w:space="0" w:color="auto"/>
            </w:tcBorders>
            <w:shd w:val="clear" w:color="auto" w:fill="auto"/>
          </w:tcPr>
          <w:p w:rsidR="00384A07" w:rsidRPr="00384A07" w:rsidRDefault="00384A07" w:rsidP="00384A07">
            <w:pPr>
              <w:pStyle w:val="Tabletext"/>
            </w:pPr>
          </w:p>
        </w:tc>
        <w:tc>
          <w:tcPr>
            <w:tcW w:w="1275" w:type="dxa"/>
            <w:tcBorders>
              <w:top w:val="dashed" w:sz="4" w:space="0" w:color="auto"/>
            </w:tcBorders>
            <w:shd w:val="clear" w:color="auto" w:fill="auto"/>
          </w:tcPr>
          <w:p w:rsidR="00384A07" w:rsidRPr="00384A07" w:rsidRDefault="00384A07" w:rsidP="00384A07">
            <w:pPr>
              <w:pStyle w:val="Tabletext"/>
              <w:tabs>
                <w:tab w:val="decimal" w:pos="441"/>
              </w:tabs>
            </w:pPr>
            <w:r w:rsidRPr="00384A07">
              <w:t>22.97***</w:t>
            </w:r>
          </w:p>
        </w:tc>
        <w:tc>
          <w:tcPr>
            <w:tcW w:w="1276" w:type="dxa"/>
            <w:tcBorders>
              <w:top w:val="dashed" w:sz="4" w:space="0" w:color="auto"/>
            </w:tcBorders>
            <w:shd w:val="clear" w:color="auto" w:fill="auto"/>
          </w:tcPr>
          <w:p w:rsidR="00384A07" w:rsidRPr="00384A07" w:rsidRDefault="00384A07" w:rsidP="00384A07">
            <w:pPr>
              <w:pStyle w:val="Tabletext"/>
              <w:tabs>
                <w:tab w:val="decimal" w:pos="531"/>
              </w:tabs>
            </w:pPr>
            <w:r w:rsidRPr="00384A07">
              <w:t>1.82</w:t>
            </w:r>
          </w:p>
        </w:tc>
        <w:tc>
          <w:tcPr>
            <w:tcW w:w="1276" w:type="dxa"/>
            <w:tcBorders>
              <w:top w:val="dashed" w:sz="4" w:space="0" w:color="auto"/>
            </w:tcBorders>
            <w:shd w:val="clear" w:color="auto" w:fill="auto"/>
          </w:tcPr>
          <w:p w:rsidR="00384A07" w:rsidRPr="00384A07" w:rsidRDefault="00384A07" w:rsidP="00384A07">
            <w:pPr>
              <w:pStyle w:val="Tabletext"/>
              <w:tabs>
                <w:tab w:val="decimal" w:pos="440"/>
              </w:tabs>
            </w:pPr>
            <w:r w:rsidRPr="00384A07">
              <w:t>&lt;.001</w:t>
            </w:r>
          </w:p>
        </w:tc>
      </w:tr>
      <w:tr w:rsidR="00384A07" w:rsidRPr="00384A07" w:rsidTr="00FA0A74">
        <w:tc>
          <w:tcPr>
            <w:tcW w:w="2552" w:type="dxa"/>
            <w:shd w:val="clear" w:color="auto" w:fill="auto"/>
          </w:tcPr>
          <w:p w:rsidR="00384A07" w:rsidRPr="00384A07" w:rsidRDefault="00384A07" w:rsidP="00384A07">
            <w:pPr>
              <w:pStyle w:val="Tabletext"/>
            </w:pPr>
            <w:r w:rsidRPr="00384A07">
              <w:t>N</w:t>
            </w:r>
          </w:p>
        </w:tc>
        <w:tc>
          <w:tcPr>
            <w:tcW w:w="2410" w:type="dxa"/>
            <w:shd w:val="clear" w:color="auto" w:fill="auto"/>
          </w:tcPr>
          <w:p w:rsidR="00384A07" w:rsidRPr="00384A07" w:rsidRDefault="00384A07" w:rsidP="00384A07">
            <w:pPr>
              <w:pStyle w:val="Tabletext"/>
            </w:pPr>
            <w:r w:rsidRPr="00384A07">
              <w:t>14 251</w:t>
            </w:r>
          </w:p>
        </w:tc>
        <w:tc>
          <w:tcPr>
            <w:tcW w:w="3827" w:type="dxa"/>
            <w:gridSpan w:val="3"/>
            <w:shd w:val="clear" w:color="auto" w:fill="auto"/>
          </w:tcPr>
          <w:p w:rsidR="00384A07" w:rsidRPr="00384A07" w:rsidRDefault="00384A07" w:rsidP="00384A07">
            <w:pPr>
              <w:pStyle w:val="Tabletext"/>
            </w:pPr>
          </w:p>
        </w:tc>
      </w:tr>
      <w:tr w:rsidR="00384A07" w:rsidRPr="00384A07" w:rsidTr="00FA0A74">
        <w:tc>
          <w:tcPr>
            <w:tcW w:w="2552" w:type="dxa"/>
            <w:tcBorders>
              <w:bottom w:val="single" w:sz="4" w:space="0" w:color="auto"/>
            </w:tcBorders>
            <w:shd w:val="clear" w:color="auto" w:fill="auto"/>
          </w:tcPr>
          <w:p w:rsidR="00384A07" w:rsidRPr="00384A07" w:rsidRDefault="00384A07" w:rsidP="00384A07">
            <w:pPr>
              <w:pStyle w:val="Tabletext"/>
            </w:pPr>
            <w:r w:rsidRPr="00384A07">
              <w:t>R-squared</w:t>
            </w:r>
          </w:p>
        </w:tc>
        <w:tc>
          <w:tcPr>
            <w:tcW w:w="2410" w:type="dxa"/>
            <w:tcBorders>
              <w:bottom w:val="single" w:sz="4" w:space="0" w:color="auto"/>
            </w:tcBorders>
            <w:shd w:val="clear" w:color="auto" w:fill="auto"/>
          </w:tcPr>
          <w:p w:rsidR="00384A07" w:rsidRPr="00384A07" w:rsidRDefault="00384A07" w:rsidP="00384A07">
            <w:pPr>
              <w:pStyle w:val="Tabletext"/>
            </w:pPr>
            <w:r w:rsidRPr="00384A07">
              <w:t>0.32</w:t>
            </w:r>
          </w:p>
        </w:tc>
        <w:tc>
          <w:tcPr>
            <w:tcW w:w="3827" w:type="dxa"/>
            <w:gridSpan w:val="3"/>
            <w:tcBorders>
              <w:bottom w:val="single" w:sz="4" w:space="0" w:color="auto"/>
            </w:tcBorders>
            <w:shd w:val="clear" w:color="auto" w:fill="auto"/>
          </w:tcPr>
          <w:p w:rsidR="00384A07" w:rsidRPr="00384A07" w:rsidRDefault="00384A07" w:rsidP="00384A07">
            <w:pPr>
              <w:pStyle w:val="Tabletext"/>
            </w:pPr>
          </w:p>
        </w:tc>
      </w:tr>
    </w:tbl>
    <w:bookmarkEnd w:id="64"/>
    <w:p w:rsidR="00384A07" w:rsidRPr="00384A07" w:rsidRDefault="00384A07" w:rsidP="00384A07">
      <w:pPr>
        <w:pStyle w:val="Source"/>
      </w:pPr>
      <w:r w:rsidRPr="00384A07">
        <w:t xml:space="preserve">Notes: </w:t>
      </w:r>
      <w:r w:rsidRPr="00384A07">
        <w:tab/>
        <w:t xml:space="preserve">* </w:t>
      </w:r>
      <w:r w:rsidRPr="00384A07">
        <w:tab/>
        <w:t>&lt;0.05</w:t>
      </w:r>
      <w:r w:rsidRPr="00384A07">
        <w:tab/>
        <w:t>**  &lt;0.01</w:t>
      </w:r>
      <w:r w:rsidRPr="00384A07">
        <w:tab/>
        <w:t>***  &lt;0.001</w:t>
      </w:r>
      <w:r w:rsidR="00A721FC">
        <w:t>.</w:t>
      </w:r>
    </w:p>
    <w:p w:rsidR="00384A07" w:rsidRPr="00384A07" w:rsidRDefault="00384A07" w:rsidP="00384A07">
      <w:pPr>
        <w:pStyle w:val="Source"/>
      </w:pPr>
      <w:r w:rsidRPr="00384A07">
        <w:t>1</w:t>
      </w:r>
      <w:r w:rsidRPr="00384A07">
        <w:tab/>
        <w:t xml:space="preserve">To facilitate the interpretation of regression results, the continuous predictors </w:t>
      </w:r>
      <w:r w:rsidRPr="00384A07">
        <w:rPr>
          <w:i/>
        </w:rPr>
        <w:t>SES, attitudes to school, teacher quality, teacher–student relations</w:t>
      </w:r>
      <w:r w:rsidRPr="00384A07">
        <w:t xml:space="preserve"> and </w:t>
      </w:r>
      <w:r w:rsidRPr="00384A07">
        <w:rPr>
          <w:i/>
        </w:rPr>
        <w:t>disciplinary climate</w:t>
      </w:r>
      <w:r w:rsidRPr="00384A07">
        <w:t xml:space="preserve"> were standardised to a mean of 0 and a standard deviation of 1.</w:t>
      </w:r>
    </w:p>
    <w:p w:rsidR="00384A07" w:rsidRPr="00384A07" w:rsidRDefault="00384A07" w:rsidP="00384A07">
      <w:pPr>
        <w:pStyle w:val="Source"/>
      </w:pPr>
      <w:r w:rsidRPr="00384A07">
        <w:t>2</w:t>
      </w:r>
      <w:r w:rsidRPr="00384A07">
        <w:tab/>
        <w:t>While not significant, the coefficient for Indigenous status has an unusual sign. Please see the earlier discussion for ‘Year 12 plans’ for further explanation.</w:t>
      </w:r>
    </w:p>
    <w:p w:rsidR="00384A07" w:rsidRPr="00384A07" w:rsidRDefault="00384A07" w:rsidP="00384A07">
      <w:pPr>
        <w:pStyle w:val="Source"/>
      </w:pPr>
      <w:r w:rsidRPr="00384A07">
        <w:t>3</w:t>
      </w:r>
      <w:r w:rsidRPr="00384A07">
        <w:tab/>
        <w:t>The coefficient gives the increase in occupational status for a 100-unit increase in the academic performance score.</w:t>
      </w:r>
    </w:p>
    <w:p w:rsidR="00590FD8" w:rsidRDefault="00590FD8" w:rsidP="008547C2">
      <w:pPr>
        <w:pStyle w:val="Text"/>
        <w:sectPr w:rsidR="00590FD8" w:rsidSect="00F60BA5">
          <w:footerReference w:type="even" r:id="rId18"/>
          <w:footerReference w:type="default" r:id="rId19"/>
          <w:pgSz w:w="11907" w:h="16840" w:code="9"/>
          <w:pgMar w:top="1276" w:right="1701" w:bottom="1276" w:left="1418" w:header="709" w:footer="556" w:gutter="0"/>
          <w:cols w:space="708"/>
          <w:docGrid w:linePitch="360"/>
        </w:sectPr>
      </w:pPr>
    </w:p>
    <w:p w:rsidR="00590FD8" w:rsidRDefault="00590FD8" w:rsidP="00590FD8">
      <w:pPr>
        <w:pStyle w:val="Figuretitle"/>
      </w:pPr>
      <w:bookmarkStart w:id="67" w:name="_Toc377396993"/>
      <w:r>
        <w:lastRenderedPageBreak/>
        <w:t>Figure 2</w:t>
      </w:r>
      <w:r>
        <w:tab/>
        <w:t>Tree diagram for university plans</w:t>
      </w:r>
      <w:bookmarkEnd w:id="67"/>
      <w:r w:rsidR="00534E40">
        <w:t xml:space="preserve"> </w:t>
      </w:r>
    </w:p>
    <w:p w:rsidR="00590FD8" w:rsidRDefault="00C87279" w:rsidP="004B02E6">
      <w:pPr>
        <w:pStyle w:val="Heading2"/>
        <w:sectPr w:rsidR="00590FD8" w:rsidSect="00115C18">
          <w:footerReference w:type="default" r:id="rId20"/>
          <w:pgSz w:w="16840" w:h="11907" w:orient="landscape" w:code="9"/>
          <w:pgMar w:top="1134" w:right="1276" w:bottom="1134" w:left="1276" w:header="709" w:footer="556" w:gutter="0"/>
          <w:cols w:space="708"/>
          <w:docGrid w:linePitch="360"/>
        </w:sectPr>
      </w:pPr>
      <w:r>
        <w:object w:dxaOrig="14564" w:dyaOrig="8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7.45pt;height:407.6pt" o:ole="">
            <v:imagedata r:id="rId21" o:title=""/>
          </v:shape>
          <o:OLEObject Type="Embed" ProgID="Visio.Drawing.11" ShapeID="_x0000_i1027" DrawAspect="Content" ObjectID="_1465301755" r:id="rId22"/>
        </w:object>
      </w:r>
    </w:p>
    <w:p w:rsidR="004B02E6" w:rsidRDefault="004B02E6" w:rsidP="0038754B">
      <w:pPr>
        <w:pStyle w:val="Textmorebefore"/>
        <w:rPr>
          <w:rFonts w:eastAsia="Calibri"/>
        </w:rPr>
      </w:pPr>
      <w:bookmarkStart w:id="68" w:name="_Toc351967823"/>
      <w:bookmarkStart w:id="69" w:name="_Toc352084761"/>
      <w:bookmarkEnd w:id="68"/>
      <w:bookmarkEnd w:id="69"/>
      <w:r>
        <w:rPr>
          <w:rFonts w:eastAsia="Calibri"/>
        </w:rPr>
        <w:lastRenderedPageBreak/>
        <w:t xml:space="preserve">Two of the strongest predictors are parental plans and academic performance. Students whose parents want them to attend university have expected occupational status scores that are approximately </w:t>
      </w:r>
      <w:r w:rsidRPr="00C9122E">
        <w:rPr>
          <w:rFonts w:eastAsia="Calibri"/>
          <w:i/>
        </w:rPr>
        <w:t>12 points higher</w:t>
      </w:r>
      <w:r>
        <w:rPr>
          <w:rFonts w:eastAsia="Calibri"/>
        </w:rPr>
        <w:t xml:space="preserve"> than those of students whose parents want them to do something other than university. Also, for every 100-unit increase in a student’s academic performance score, the status of their expected job at age 30 </w:t>
      </w:r>
      <w:r w:rsidR="004F1375">
        <w:rPr>
          <w:rFonts w:eastAsia="Calibri"/>
        </w:rPr>
        <w:t xml:space="preserve">years </w:t>
      </w:r>
      <w:r>
        <w:rPr>
          <w:rFonts w:eastAsia="Calibri"/>
        </w:rPr>
        <w:t xml:space="preserve">increases by around </w:t>
      </w:r>
      <w:r w:rsidR="004F1375">
        <w:rPr>
          <w:rFonts w:eastAsia="Calibri"/>
        </w:rPr>
        <w:t>seven</w:t>
      </w:r>
      <w:r>
        <w:rPr>
          <w:rFonts w:eastAsia="Calibri"/>
        </w:rPr>
        <w:t xml:space="preserve"> points.</w:t>
      </w:r>
    </w:p>
    <w:p w:rsidR="004B02E6" w:rsidRDefault="004B02E6" w:rsidP="004B02E6">
      <w:pPr>
        <w:pStyle w:val="Text"/>
        <w:rPr>
          <w:rFonts w:eastAsia="Calibri"/>
        </w:rPr>
      </w:pPr>
      <w:r>
        <w:rPr>
          <w:rFonts w:eastAsia="Calibri"/>
        </w:rPr>
        <w:t>Gender and imm</w:t>
      </w:r>
      <w:r w:rsidR="00143F32">
        <w:rPr>
          <w:rFonts w:eastAsia="Calibri"/>
        </w:rPr>
        <w:t>igration background also have some</w:t>
      </w:r>
      <w:r>
        <w:rPr>
          <w:rFonts w:eastAsia="Calibri"/>
        </w:rPr>
        <w:t xml:space="preserve"> influence. For males, the status of their expected job at age 30</w:t>
      </w:r>
      <w:r w:rsidR="004F1375">
        <w:rPr>
          <w:rFonts w:eastAsia="Calibri"/>
        </w:rPr>
        <w:t xml:space="preserve"> years</w:t>
      </w:r>
      <w:r>
        <w:rPr>
          <w:rFonts w:eastAsia="Calibri"/>
        </w:rPr>
        <w:t xml:space="preserve"> is around </w:t>
      </w:r>
      <w:r w:rsidR="004F1375">
        <w:rPr>
          <w:rFonts w:eastAsia="Calibri"/>
        </w:rPr>
        <w:t>six</w:t>
      </w:r>
      <w:r>
        <w:rPr>
          <w:rFonts w:eastAsia="Calibri"/>
        </w:rPr>
        <w:t xml:space="preserve"> points </w:t>
      </w:r>
      <w:r w:rsidRPr="001D1FC3">
        <w:rPr>
          <w:rFonts w:eastAsia="Calibri"/>
          <w:i/>
        </w:rPr>
        <w:t>lower</w:t>
      </w:r>
      <w:r>
        <w:rPr>
          <w:rFonts w:eastAsia="Calibri"/>
        </w:rPr>
        <w:t xml:space="preserve"> than for females. Moreover, the expected job status of foreign-born students is around </w:t>
      </w:r>
      <w:r w:rsidR="003F578E">
        <w:rPr>
          <w:rFonts w:eastAsia="Calibri"/>
        </w:rPr>
        <w:t>six</w:t>
      </w:r>
      <w:r>
        <w:rPr>
          <w:rFonts w:eastAsia="Calibri"/>
        </w:rPr>
        <w:t xml:space="preserve"> points higher than that of Australian-born students (students born in Australia with both parents born in Australia).</w:t>
      </w:r>
    </w:p>
    <w:p w:rsidR="00F23728" w:rsidRDefault="00871BC8" w:rsidP="0038754B">
      <w:pPr>
        <w:pStyle w:val="Text"/>
        <w:ind w:right="283"/>
      </w:pPr>
      <w:r>
        <w:t xml:space="preserve">Figure 3 provides a breakdown of the most important predictor variables. </w:t>
      </w:r>
      <w:r w:rsidR="00F23728">
        <w:t>Whether parents expect their children to attend uni</w:t>
      </w:r>
      <w:r w:rsidR="00727891">
        <w:t>versity</w:t>
      </w:r>
      <w:r w:rsidR="00F23728">
        <w:t xml:space="preserve"> is also the most influential factor </w:t>
      </w:r>
      <w:r w:rsidR="002C691A">
        <w:t xml:space="preserve">with respect to </w:t>
      </w:r>
      <w:r w:rsidR="00F23728">
        <w:t xml:space="preserve">young people’s </w:t>
      </w:r>
      <w:r>
        <w:t>occupational aspirations</w:t>
      </w:r>
      <w:r w:rsidR="00F23728">
        <w:t>. A diffe</w:t>
      </w:r>
      <w:r w:rsidR="003F578E">
        <w:t>rence of almost 40 occupational-</w:t>
      </w:r>
      <w:r w:rsidR="00F23728">
        <w:t>status points exists between the groups with the lowest (node 14) and highest (node 23) occupational aspirations</w:t>
      </w:r>
      <w:r w:rsidR="00727891">
        <w:t>.</w:t>
      </w:r>
      <w:r w:rsidR="004D2223">
        <w:t xml:space="preserve"> Examples of high-status jobs include </w:t>
      </w:r>
      <w:r w:rsidR="00534E40">
        <w:t xml:space="preserve">specialist </w:t>
      </w:r>
      <w:r w:rsidR="004D2223">
        <w:t>medical practitioners (status score of 100) and legal professionals (status score of 9</w:t>
      </w:r>
      <w:r w:rsidR="00534E40">
        <w:t>6</w:t>
      </w:r>
      <w:r w:rsidR="004D2223">
        <w:t xml:space="preserve">), while low-status jobs include </w:t>
      </w:r>
      <w:r w:rsidR="00534E40">
        <w:t>truck drivers</w:t>
      </w:r>
      <w:r w:rsidR="004D2223">
        <w:t xml:space="preserve"> (status score of </w:t>
      </w:r>
      <w:r w:rsidR="00534E40">
        <w:t>14</w:t>
      </w:r>
      <w:r w:rsidR="004D2223">
        <w:t xml:space="preserve">) and </w:t>
      </w:r>
      <w:r w:rsidR="00534E40">
        <w:t>farm hands</w:t>
      </w:r>
      <w:r w:rsidR="004D2223">
        <w:t xml:space="preserve"> (status score of 0)</w:t>
      </w:r>
      <w:r w:rsidR="00534E40">
        <w:t xml:space="preserve"> </w:t>
      </w:r>
      <w:r w:rsidR="00C87279">
        <w:t xml:space="preserve">— </w:t>
      </w:r>
      <w:r w:rsidR="00C87279" w:rsidRPr="00C87279">
        <w:t>see table</w:t>
      </w:r>
      <w:r w:rsidR="00534E40" w:rsidRPr="00C87279">
        <w:t xml:space="preserve"> 12.</w:t>
      </w:r>
    </w:p>
    <w:p w:rsidR="00AB308A" w:rsidRDefault="00B54EBB" w:rsidP="00AB308A">
      <w:pPr>
        <w:pStyle w:val="Heading2"/>
      </w:pPr>
      <w:bookmarkStart w:id="70" w:name="_Toc380048248"/>
      <w:r>
        <w:t>Summary of findings</w:t>
      </w:r>
      <w:bookmarkEnd w:id="70"/>
    </w:p>
    <w:p w:rsidR="00B54EBB" w:rsidRDefault="003A50DA" w:rsidP="00F23728">
      <w:pPr>
        <w:pStyle w:val="Text"/>
      </w:pPr>
      <w:r>
        <w:t xml:space="preserve">The key </w:t>
      </w:r>
      <w:r w:rsidR="00AB308A">
        <w:t>message from the analysis so far is just how important parents and peers are to young people’s aspirations. This message is further underscored by a path analysis</w:t>
      </w:r>
      <w:r w:rsidR="003F578E">
        <w:t>,</w:t>
      </w:r>
      <w:r w:rsidR="00AB308A">
        <w:t xml:space="preserve"> which shows that parental and peer influences almost entirely mediate the effects of gender, Indigenous status, </w:t>
      </w:r>
      <w:r w:rsidR="003F578E">
        <w:t>socioeconomic status</w:t>
      </w:r>
      <w:r w:rsidR="00AB308A">
        <w:t>, location, family structure and i</w:t>
      </w:r>
      <w:r w:rsidR="00156235">
        <w:t>mmigration status</w:t>
      </w:r>
      <w:r w:rsidR="003F578E">
        <w:t>. (S</w:t>
      </w:r>
      <w:r w:rsidR="00156235">
        <w:t>ee section C</w:t>
      </w:r>
      <w:r w:rsidR="00AB308A">
        <w:t xml:space="preserve"> of the accompanying support document for details on this supplementary analysis</w:t>
      </w:r>
      <w:r w:rsidR="003F578E">
        <w:t>.)</w:t>
      </w:r>
      <w:r w:rsidR="00AB308A">
        <w:t xml:space="preserve"> </w:t>
      </w:r>
    </w:p>
    <w:p w:rsidR="00B54EBB" w:rsidRDefault="0088204F" w:rsidP="00F23728">
      <w:pPr>
        <w:pStyle w:val="Text"/>
      </w:pPr>
      <w:r>
        <w:t>A</w:t>
      </w:r>
      <w:r w:rsidR="00AB308A">
        <w:t>ny policy intervention that successfully leverages the influ</w:t>
      </w:r>
      <w:r>
        <w:t xml:space="preserve">ence of parents and peers may thus </w:t>
      </w:r>
      <w:r w:rsidR="00AB308A">
        <w:t>provide a substantial pay-off in terms of raising aspirations.</w:t>
      </w:r>
      <w:r>
        <w:t xml:space="preserve"> </w:t>
      </w:r>
      <w:r w:rsidR="00B54EBB">
        <w:rPr>
          <w:lang w:eastAsia="en-AU"/>
        </w:rPr>
        <w:t>One example of a successful intervention</w:t>
      </w:r>
      <w:r w:rsidR="00B54EBB" w:rsidRPr="002078A0">
        <w:rPr>
          <w:lang w:eastAsia="en-AU"/>
        </w:rPr>
        <w:t xml:space="preserve"> is the Parents as Career Transition Supports (PACTS</w:t>
      </w:r>
      <w:r w:rsidR="00B54EBB">
        <w:rPr>
          <w:lang w:eastAsia="en-AU"/>
        </w:rPr>
        <w:t xml:space="preserve">) program (Youth Connect 2013). </w:t>
      </w:r>
      <w:r w:rsidR="003F578E">
        <w:rPr>
          <w:lang w:eastAsia="en-AU"/>
        </w:rPr>
        <w:t xml:space="preserve">The program provides parents and care </w:t>
      </w:r>
      <w:r w:rsidR="00B54EBB">
        <w:rPr>
          <w:lang w:eastAsia="en-AU"/>
        </w:rPr>
        <w:t xml:space="preserve">givers with free advice </w:t>
      </w:r>
      <w:r w:rsidR="003F578E">
        <w:rPr>
          <w:lang w:eastAsia="en-AU"/>
        </w:rPr>
        <w:t>on</w:t>
      </w:r>
      <w:r w:rsidR="00B54EBB">
        <w:rPr>
          <w:lang w:eastAsia="en-AU"/>
        </w:rPr>
        <w:t xml:space="preserve"> educational pathways and </w:t>
      </w:r>
      <w:r w:rsidR="003F578E">
        <w:rPr>
          <w:lang w:eastAsia="en-AU"/>
        </w:rPr>
        <w:t xml:space="preserve">on </w:t>
      </w:r>
      <w:r w:rsidR="00B54EBB">
        <w:rPr>
          <w:lang w:eastAsia="en-AU"/>
        </w:rPr>
        <w:t xml:space="preserve">how to communicate with young people about their careers. An evaluation of </w:t>
      </w:r>
      <w:r w:rsidR="003F578E">
        <w:rPr>
          <w:lang w:eastAsia="en-AU"/>
        </w:rPr>
        <w:t>the program</w:t>
      </w:r>
      <w:r w:rsidR="00B54EBB">
        <w:rPr>
          <w:lang w:eastAsia="en-AU"/>
        </w:rPr>
        <w:t xml:space="preserve"> showed </w:t>
      </w:r>
      <w:r w:rsidR="00B54EBB" w:rsidRPr="00681B5A">
        <w:rPr>
          <w:lang w:eastAsia="en-AU"/>
        </w:rPr>
        <w:t xml:space="preserve">that the proportion of parents who discussed post-school options with their children increased significantly after participating in </w:t>
      </w:r>
      <w:r w:rsidR="003F578E">
        <w:rPr>
          <w:lang w:eastAsia="en-AU"/>
        </w:rPr>
        <w:t>it</w:t>
      </w:r>
      <w:r w:rsidR="00B54EBB" w:rsidRPr="00681B5A">
        <w:rPr>
          <w:lang w:eastAsia="en-AU"/>
        </w:rPr>
        <w:t xml:space="preserve"> (Bedson &amp; Perkins 2006)</w:t>
      </w:r>
      <w:r w:rsidR="003F578E">
        <w:rPr>
          <w:lang w:eastAsia="en-AU"/>
        </w:rPr>
        <w:t>.</w:t>
      </w:r>
      <w:r w:rsidR="00B54EBB" w:rsidRPr="00681B5A">
        <w:rPr>
          <w:rStyle w:val="FootnoteReference"/>
          <w:lang w:eastAsia="en-AU"/>
        </w:rPr>
        <w:footnoteReference w:id="13"/>
      </w:r>
      <w:r w:rsidR="00B54EBB">
        <w:rPr>
          <w:lang w:eastAsia="en-AU"/>
        </w:rPr>
        <w:t xml:space="preserve"> </w:t>
      </w:r>
      <w:bookmarkStart w:id="71" w:name="OLE_LINK5"/>
      <w:bookmarkStart w:id="72" w:name="OLE_LINK6"/>
      <w:r w:rsidR="00B54EBB">
        <w:rPr>
          <w:lang w:eastAsia="en-AU"/>
        </w:rPr>
        <w:t xml:space="preserve">Expanding </w:t>
      </w:r>
      <w:r w:rsidR="00C64242">
        <w:rPr>
          <w:lang w:eastAsia="en-AU"/>
        </w:rPr>
        <w:t xml:space="preserve">the provision of </w:t>
      </w:r>
      <w:r w:rsidR="00B54EBB">
        <w:rPr>
          <w:lang w:eastAsia="en-AU"/>
        </w:rPr>
        <w:t xml:space="preserve">programs that actively engage parents in the career decision-making process may be an effective means </w:t>
      </w:r>
      <w:r w:rsidR="00B54EBB">
        <w:t>for raising the educational and occupational aspirations of Australian youth</w:t>
      </w:r>
      <w:r w:rsidR="00B54EBB">
        <w:rPr>
          <w:lang w:eastAsia="en-AU"/>
        </w:rPr>
        <w:t>.</w:t>
      </w:r>
      <w:bookmarkEnd w:id="71"/>
      <w:bookmarkEnd w:id="72"/>
    </w:p>
    <w:p w:rsidR="00F23728" w:rsidRDefault="00F23728" w:rsidP="00F23728">
      <w:pPr>
        <w:pStyle w:val="Text"/>
      </w:pPr>
    </w:p>
    <w:p w:rsidR="00CC25EC" w:rsidRDefault="00CC25EC" w:rsidP="00F23728">
      <w:pPr>
        <w:pStyle w:val="Text"/>
        <w:sectPr w:rsidR="00CC25EC" w:rsidSect="00E73225">
          <w:footerReference w:type="even" r:id="rId23"/>
          <w:footerReference w:type="default" r:id="rId24"/>
          <w:pgSz w:w="11907" w:h="16840" w:code="9"/>
          <w:pgMar w:top="1276" w:right="1701" w:bottom="1276" w:left="1418" w:header="709" w:footer="556" w:gutter="0"/>
          <w:cols w:space="708"/>
          <w:docGrid w:linePitch="360"/>
        </w:sectPr>
      </w:pPr>
    </w:p>
    <w:p w:rsidR="00CC25EC" w:rsidRDefault="00572DF9" w:rsidP="00CC25EC">
      <w:pPr>
        <w:pStyle w:val="Figuretitle"/>
      </w:pPr>
      <w:r>
        <w:rPr>
          <w:noProof/>
          <w:lang w:eastAsia="en-AU"/>
        </w:rPr>
        <w:lastRenderedPageBreak/>
        <w:drawing>
          <wp:anchor distT="0" distB="0" distL="114300" distR="114300" simplePos="0" relativeHeight="251712512" behindDoc="0" locked="0" layoutInCell="1" allowOverlap="1">
            <wp:simplePos x="0" y="0"/>
            <wp:positionH relativeFrom="column">
              <wp:posOffset>19050</wp:posOffset>
            </wp:positionH>
            <wp:positionV relativeFrom="paragraph">
              <wp:posOffset>471170</wp:posOffset>
            </wp:positionV>
            <wp:extent cx="9072880" cy="4442460"/>
            <wp:effectExtent l="19050" t="0" r="0" b="0"/>
            <wp:wrapSquare wrapText="bothSides"/>
            <wp:docPr id="6" name="Picture 3" descr="\\ncver.edu.au\data\users\SinanGemici\Desktop\occas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ver.edu.au\data\users\SinanGemici\Desktop\occasps.jpg"/>
                    <pic:cNvPicPr>
                      <a:picLocks noChangeAspect="1" noChangeArrowheads="1"/>
                    </pic:cNvPicPr>
                  </pic:nvPicPr>
                  <pic:blipFill>
                    <a:blip r:embed="rId25" cstate="print"/>
                    <a:srcRect/>
                    <a:stretch>
                      <a:fillRect/>
                    </a:stretch>
                  </pic:blipFill>
                  <pic:spPr bwMode="auto">
                    <a:xfrm>
                      <a:off x="0" y="0"/>
                      <a:ext cx="9072880" cy="4442460"/>
                    </a:xfrm>
                    <a:prstGeom prst="rect">
                      <a:avLst/>
                    </a:prstGeom>
                    <a:noFill/>
                    <a:ln w="9525">
                      <a:noFill/>
                      <a:miter lim="800000"/>
                      <a:headEnd/>
                      <a:tailEnd/>
                    </a:ln>
                  </pic:spPr>
                </pic:pic>
              </a:graphicData>
            </a:graphic>
          </wp:anchor>
        </w:drawing>
      </w:r>
      <w:bookmarkStart w:id="73" w:name="_Toc377396994"/>
      <w:r w:rsidR="00CC25EC">
        <w:t xml:space="preserve">Figure </w:t>
      </w:r>
      <w:r w:rsidR="00935375">
        <w:t>3</w:t>
      </w:r>
      <w:r w:rsidR="00CC25EC">
        <w:tab/>
        <w:t>Tree diagram for occupational aspirations</w:t>
      </w:r>
      <w:bookmarkEnd w:id="73"/>
    </w:p>
    <w:p w:rsidR="00573AE5" w:rsidRDefault="00573AE5" w:rsidP="00F23728">
      <w:pPr>
        <w:pStyle w:val="Text"/>
      </w:pPr>
    </w:p>
    <w:p w:rsidR="000B6EC8" w:rsidRDefault="000B6EC8" w:rsidP="00F23728">
      <w:pPr>
        <w:pStyle w:val="Text"/>
      </w:pPr>
    </w:p>
    <w:p w:rsidR="00CC25EC" w:rsidRDefault="00CC25EC" w:rsidP="00EF46FD">
      <w:pPr>
        <w:pStyle w:val="Source"/>
        <w:sectPr w:rsidR="00CC25EC" w:rsidSect="00115C18">
          <w:footerReference w:type="even" r:id="rId26"/>
          <w:footerReference w:type="default" r:id="rId27"/>
          <w:pgSz w:w="16840" w:h="11907" w:orient="landscape" w:code="9"/>
          <w:pgMar w:top="1134" w:right="1276" w:bottom="1134" w:left="1276" w:header="709" w:footer="556" w:gutter="0"/>
          <w:cols w:space="708"/>
          <w:docGrid w:linePitch="360"/>
        </w:sectPr>
      </w:pPr>
    </w:p>
    <w:p w:rsidR="004C3F1D" w:rsidRDefault="004C3F1D" w:rsidP="004C3F1D">
      <w:pPr>
        <w:pStyle w:val="Heading1"/>
      </w:pPr>
      <w:bookmarkStart w:id="74" w:name="_Toc380048249"/>
      <w:r>
        <w:lastRenderedPageBreak/>
        <w:t>Aspirations or delusions?</w:t>
      </w:r>
      <w:bookmarkEnd w:id="74"/>
    </w:p>
    <w:p w:rsidR="00A078AD" w:rsidRDefault="003F578E" w:rsidP="00A078AD">
      <w:pPr>
        <w:pStyle w:val="Text"/>
      </w:pPr>
      <w:r>
        <w:t>Thus far</w:t>
      </w:r>
      <w:r w:rsidR="00A078AD">
        <w:t xml:space="preserve"> this study has investigated which factors are most important in influencing young people’s aspirations. A related question is: how close do young people come to </w:t>
      </w:r>
      <w:r w:rsidR="00A078AD" w:rsidRPr="001D3B13">
        <w:rPr>
          <w:i/>
        </w:rPr>
        <w:t>meeting</w:t>
      </w:r>
      <w:r w:rsidR="00A078AD">
        <w:t xml:space="preserve"> their aspirations? </w:t>
      </w:r>
      <w:r w:rsidR="00B16AF6">
        <w:t>This section compares the initial</w:t>
      </w:r>
      <w:r>
        <w:t xml:space="preserve"> occupational aspirations of 15-</w:t>
      </w:r>
      <w:r w:rsidR="00B16AF6">
        <w:t xml:space="preserve">year-olds </w:t>
      </w:r>
      <w:r>
        <w:t>with</w:t>
      </w:r>
      <w:r w:rsidR="00B16AF6">
        <w:t xml:space="preserve"> their actual occupational</w:t>
      </w:r>
      <w:r w:rsidR="00BF57F2">
        <w:t xml:space="preserve"> outcomes about a decade later.</w:t>
      </w:r>
    </w:p>
    <w:p w:rsidR="00A409A1" w:rsidRDefault="00A078AD" w:rsidP="002D21F4">
      <w:pPr>
        <w:pStyle w:val="Text"/>
      </w:pPr>
      <w:r>
        <w:t>Since the LSAY survey follows students over a</w:t>
      </w:r>
      <w:r w:rsidR="003F578E">
        <w:t xml:space="preserve"> ten</w:t>
      </w:r>
      <w:r w:rsidR="001B504D">
        <w:t>-year period, the occupation</w:t>
      </w:r>
      <w:r>
        <w:t xml:space="preserve"> a student aspired to at age 15 </w:t>
      </w:r>
      <w:r w:rsidR="003F578E">
        <w:t xml:space="preserve">years </w:t>
      </w:r>
      <w:r w:rsidR="001B504D">
        <w:t xml:space="preserve">can be compared </w:t>
      </w:r>
      <w:r w:rsidR="003F578E">
        <w:t>with</w:t>
      </w:r>
      <w:r w:rsidR="001B504D">
        <w:t xml:space="preserve"> the actual occupation</w:t>
      </w:r>
      <w:r>
        <w:t xml:space="preserve"> </w:t>
      </w:r>
      <w:r w:rsidR="00497A5F">
        <w:t>they he</w:t>
      </w:r>
      <w:r>
        <w:t>ld at age 25</w:t>
      </w:r>
      <w:r w:rsidR="003F578E">
        <w:t xml:space="preserve"> years</w:t>
      </w:r>
      <w:r w:rsidR="00C64242">
        <w:t>. Although a comparison of</w:t>
      </w:r>
      <w:r w:rsidR="00437034">
        <w:t xml:space="preserve"> the job </w:t>
      </w:r>
      <w:r>
        <w:t xml:space="preserve">at age 30 or 35 </w:t>
      </w:r>
      <w:r w:rsidR="00437034">
        <w:t xml:space="preserve">years with their aspirational occupation would be </w:t>
      </w:r>
      <w:r w:rsidR="00C64242">
        <w:t>ideal</w:t>
      </w:r>
      <w:r w:rsidR="00437034">
        <w:t>, since</w:t>
      </w:r>
      <w:r w:rsidR="00A409A1">
        <w:t xml:space="preserve"> </w:t>
      </w:r>
      <w:r w:rsidR="00437034">
        <w:t xml:space="preserve">many transitions into highly </w:t>
      </w:r>
      <w:r w:rsidR="00A409A1" w:rsidRPr="00A409A1">
        <w:t>skilled jobs (</w:t>
      </w:r>
      <w:r w:rsidR="00437034">
        <w:t>for example,</w:t>
      </w:r>
      <w:r w:rsidR="00A409A1" w:rsidRPr="00A409A1">
        <w:t xml:space="preserve"> surge</w:t>
      </w:r>
      <w:r w:rsidR="00437034">
        <w:t>ons or other medical specialist,</w:t>
      </w:r>
      <w:r w:rsidR="00A409A1" w:rsidRPr="00A409A1">
        <w:t xml:space="preserve"> university professor etc.) typically occur past the age of 25</w:t>
      </w:r>
      <w:r w:rsidR="00437034">
        <w:t xml:space="preserve"> years</w:t>
      </w:r>
      <w:r w:rsidR="00A409A1" w:rsidRPr="00A409A1">
        <w:t>, such extended data are not available</w:t>
      </w:r>
      <w:r w:rsidR="00663380">
        <w:t xml:space="preserve"> in LSAY</w:t>
      </w:r>
      <w:r w:rsidR="00A409A1" w:rsidRPr="00A409A1">
        <w:t>.</w:t>
      </w:r>
    </w:p>
    <w:p w:rsidR="00384A07" w:rsidRDefault="004B19DC" w:rsidP="0038754B">
      <w:pPr>
        <w:pStyle w:val="Text"/>
        <w:spacing w:after="120"/>
        <w:ind w:right="0"/>
        <w:rPr>
          <w:rFonts w:eastAsia="Calibri"/>
        </w:rPr>
      </w:pPr>
      <w:r>
        <w:t>As parti</w:t>
      </w:r>
      <w:r w:rsidR="009B4FEF">
        <w:t>cipants in the 20</w:t>
      </w:r>
      <w:r w:rsidR="00802CE5">
        <w:t>09 LSAY cohort were only in their fourth</w:t>
      </w:r>
      <w:r>
        <w:t xml:space="preserve"> </w:t>
      </w:r>
      <w:r w:rsidR="00802CE5">
        <w:t xml:space="preserve">survey </w:t>
      </w:r>
      <w:r>
        <w:t>wave</w:t>
      </w:r>
      <w:r w:rsidR="00802CE5">
        <w:t xml:space="preserve"> (modal age of 19) at the time of writing</w:t>
      </w:r>
      <w:r w:rsidR="009B4FEF">
        <w:t>, the 19</w:t>
      </w:r>
      <w:r>
        <w:t xml:space="preserve">98 </w:t>
      </w:r>
      <w:r w:rsidR="009B4FEF">
        <w:t xml:space="preserve">LSAY </w:t>
      </w:r>
      <w:r>
        <w:t xml:space="preserve">cohort was used instead. </w:t>
      </w:r>
      <w:r w:rsidR="002326B8">
        <w:rPr>
          <w:rFonts w:eastAsia="Calibri"/>
        </w:rPr>
        <w:t xml:space="preserve">The </w:t>
      </w:r>
      <w:r w:rsidR="00802CE5">
        <w:rPr>
          <w:rFonts w:eastAsia="Calibri"/>
        </w:rPr>
        <w:t xml:space="preserve">participants in the </w:t>
      </w:r>
      <w:r w:rsidR="009B4FEF">
        <w:rPr>
          <w:rFonts w:eastAsia="Calibri"/>
        </w:rPr>
        <w:t xml:space="preserve">1998 </w:t>
      </w:r>
      <w:r w:rsidR="002326B8">
        <w:rPr>
          <w:rFonts w:eastAsia="Calibri"/>
        </w:rPr>
        <w:t>cohort</w:t>
      </w:r>
      <w:r w:rsidR="00C64242">
        <w:rPr>
          <w:rFonts w:eastAsia="Calibri"/>
        </w:rPr>
        <w:t xml:space="preserve"> were interviewed year on </w:t>
      </w:r>
      <w:r w:rsidR="00A078AD" w:rsidRPr="007452DD">
        <w:rPr>
          <w:rFonts w:eastAsia="Calibri"/>
        </w:rPr>
        <w:t>year from ages 1</w:t>
      </w:r>
      <w:r w:rsidR="004C14A0">
        <w:rPr>
          <w:rFonts w:eastAsia="Calibri"/>
        </w:rPr>
        <w:t>4.5</w:t>
      </w:r>
      <w:r w:rsidR="00A078AD" w:rsidRPr="007452DD">
        <w:rPr>
          <w:rFonts w:eastAsia="Calibri"/>
        </w:rPr>
        <w:t xml:space="preserve"> to 25</w:t>
      </w:r>
      <w:r w:rsidR="004C14A0">
        <w:rPr>
          <w:rFonts w:eastAsia="Calibri"/>
        </w:rPr>
        <w:t>.5</w:t>
      </w:r>
      <w:r w:rsidR="00375C36">
        <w:rPr>
          <w:rFonts w:eastAsia="Calibri"/>
        </w:rPr>
        <w:t xml:space="preserve"> </w:t>
      </w:r>
      <w:r w:rsidR="002326B8">
        <w:rPr>
          <w:rFonts w:eastAsia="Calibri"/>
        </w:rPr>
        <w:t xml:space="preserve">(for simplicity, 14 to 25), over the period </w:t>
      </w:r>
      <w:r w:rsidR="009B4FEF">
        <w:rPr>
          <w:rFonts w:eastAsia="Calibri"/>
        </w:rPr>
        <w:t xml:space="preserve">from </w:t>
      </w:r>
      <w:r w:rsidR="002326B8">
        <w:rPr>
          <w:rFonts w:eastAsia="Calibri"/>
        </w:rPr>
        <w:t xml:space="preserve">1998 to 2009. </w:t>
      </w:r>
      <w:r w:rsidR="00A078AD" w:rsidRPr="007452DD">
        <w:rPr>
          <w:rFonts w:eastAsia="Calibri"/>
        </w:rPr>
        <w:t>At age 15</w:t>
      </w:r>
      <w:r w:rsidR="005003B8">
        <w:rPr>
          <w:rFonts w:eastAsia="Calibri"/>
        </w:rPr>
        <w:t xml:space="preserve"> </w:t>
      </w:r>
      <w:r w:rsidR="00437034">
        <w:rPr>
          <w:rFonts w:eastAsia="Calibri"/>
        </w:rPr>
        <w:t xml:space="preserve">years </w:t>
      </w:r>
      <w:r w:rsidR="005003B8">
        <w:rPr>
          <w:rFonts w:eastAsia="Calibri"/>
        </w:rPr>
        <w:t>(wave 2)</w:t>
      </w:r>
      <w:r w:rsidR="00A078AD" w:rsidRPr="007452DD">
        <w:rPr>
          <w:rFonts w:eastAsia="Calibri"/>
        </w:rPr>
        <w:t xml:space="preserve">, </w:t>
      </w:r>
      <w:r w:rsidR="00B2203C">
        <w:rPr>
          <w:rFonts w:eastAsia="Calibri"/>
        </w:rPr>
        <w:t>participants</w:t>
      </w:r>
      <w:r w:rsidR="00A078AD" w:rsidRPr="007452DD">
        <w:rPr>
          <w:rFonts w:eastAsia="Calibri"/>
        </w:rPr>
        <w:t xml:space="preserve"> wer</w:t>
      </w:r>
      <w:r w:rsidR="009B5D51">
        <w:rPr>
          <w:rFonts w:eastAsia="Calibri"/>
        </w:rPr>
        <w:t>e asked about their future job:</w:t>
      </w:r>
      <w:r w:rsidR="00425FF0">
        <w:rPr>
          <w:rFonts w:eastAsia="Calibri"/>
        </w:rPr>
        <w:t xml:space="preserve"> </w:t>
      </w:r>
    </w:p>
    <w:tbl>
      <w:tblPr>
        <w:tblStyle w:val="TableGrid"/>
        <w:tblW w:w="0" w:type="auto"/>
        <w:tblInd w:w="108" w:type="dxa"/>
        <w:tblLook w:val="04A0" w:firstRow="1" w:lastRow="0" w:firstColumn="1" w:lastColumn="0" w:noHBand="0" w:noVBand="1"/>
      </w:tblPr>
      <w:tblGrid>
        <w:gridCol w:w="8789"/>
      </w:tblGrid>
      <w:tr w:rsidR="00384A07" w:rsidTr="00384A07">
        <w:tc>
          <w:tcPr>
            <w:tcW w:w="8789" w:type="dxa"/>
          </w:tcPr>
          <w:p w:rsidR="00384A07" w:rsidRDefault="00384A07" w:rsidP="0038754B">
            <w:pPr>
              <w:pStyle w:val="Text"/>
              <w:spacing w:after="120"/>
              <w:ind w:right="0"/>
              <w:rPr>
                <w:rFonts w:eastAsia="Calibri"/>
              </w:rPr>
            </w:pPr>
            <w:r w:rsidRPr="00425FF0">
              <w:rPr>
                <w:rFonts w:eastAsia="Calibri"/>
              </w:rPr>
              <w:t>What job do you plan to work in when you have finished your studies? (after leaving school, or after finishing your further study or training).</w:t>
            </w:r>
            <w:r w:rsidRPr="00425FF0">
              <w:rPr>
                <w:rFonts w:eastAsia="Calibri"/>
                <w:vertAlign w:val="superscript"/>
              </w:rPr>
              <w:footnoteReference w:id="14"/>
            </w:r>
          </w:p>
        </w:tc>
      </w:tr>
    </w:tbl>
    <w:p w:rsidR="00A078AD" w:rsidRDefault="001B504D" w:rsidP="002D21F4">
      <w:pPr>
        <w:pStyle w:val="Text"/>
        <w:rPr>
          <w:rFonts w:eastAsia="Calibri"/>
        </w:rPr>
      </w:pPr>
      <w:r>
        <w:rPr>
          <w:rFonts w:eastAsia="Calibri"/>
        </w:rPr>
        <w:t>A</w:t>
      </w:r>
      <w:r w:rsidR="00B2203C">
        <w:rPr>
          <w:rFonts w:eastAsia="Calibri"/>
        </w:rPr>
        <w:t>t age 25</w:t>
      </w:r>
      <w:r w:rsidR="00437034">
        <w:rPr>
          <w:rFonts w:eastAsia="Calibri"/>
        </w:rPr>
        <w:t xml:space="preserve"> years</w:t>
      </w:r>
      <w:r w:rsidR="00B2203C">
        <w:rPr>
          <w:rFonts w:eastAsia="Calibri"/>
        </w:rPr>
        <w:t>, these same participants gave information about their current job</w:t>
      </w:r>
      <w:r w:rsidR="005E608A">
        <w:rPr>
          <w:rFonts w:eastAsia="Calibri"/>
        </w:rPr>
        <w:t xml:space="preserve"> at the time</w:t>
      </w:r>
      <w:r w:rsidR="00B2203C">
        <w:rPr>
          <w:rFonts w:eastAsia="Calibri"/>
        </w:rPr>
        <w:t>.</w:t>
      </w:r>
    </w:p>
    <w:p w:rsidR="00795F8F" w:rsidRPr="007452DD" w:rsidRDefault="00795F8F" w:rsidP="00795F8F">
      <w:pPr>
        <w:pStyle w:val="Heading2"/>
      </w:pPr>
      <w:bookmarkStart w:id="75" w:name="_Toc358211502"/>
      <w:bookmarkStart w:id="76" w:name="_Toc380048250"/>
      <w:r w:rsidRPr="007452DD">
        <w:t xml:space="preserve">What </w:t>
      </w:r>
      <w:r w:rsidR="008D3C35">
        <w:t xml:space="preserve">types of jobs </w:t>
      </w:r>
      <w:r w:rsidRPr="007452DD">
        <w:t>do young people aspire to?</w:t>
      </w:r>
      <w:bookmarkEnd w:id="75"/>
      <w:bookmarkEnd w:id="76"/>
    </w:p>
    <w:p w:rsidR="00835878" w:rsidRDefault="00795F8F" w:rsidP="000772F7">
      <w:pPr>
        <w:pStyle w:val="Text"/>
      </w:pPr>
      <w:r w:rsidRPr="007452DD">
        <w:rPr>
          <w:rFonts w:eastAsia="Calibri"/>
        </w:rPr>
        <w:t xml:space="preserve">Before looking at </w:t>
      </w:r>
      <w:r>
        <w:rPr>
          <w:rFonts w:eastAsia="Calibri"/>
        </w:rPr>
        <w:t>the extent to which</w:t>
      </w:r>
      <w:r w:rsidRPr="007452DD">
        <w:rPr>
          <w:rFonts w:eastAsia="Calibri"/>
        </w:rPr>
        <w:t xml:space="preserve"> young people</w:t>
      </w:r>
      <w:r>
        <w:rPr>
          <w:rFonts w:eastAsia="Calibri"/>
        </w:rPr>
        <w:t xml:space="preserve"> achieve their aspirations, it is</w:t>
      </w:r>
      <w:r w:rsidRPr="007452DD">
        <w:rPr>
          <w:rFonts w:eastAsia="Calibri"/>
        </w:rPr>
        <w:t xml:space="preserve"> worth</w:t>
      </w:r>
      <w:r>
        <w:rPr>
          <w:rFonts w:eastAsia="Calibri"/>
        </w:rPr>
        <w:t>while</w:t>
      </w:r>
      <w:r w:rsidRPr="007452DD">
        <w:rPr>
          <w:rFonts w:eastAsia="Calibri"/>
        </w:rPr>
        <w:t xml:space="preserve"> considering </w:t>
      </w:r>
      <w:r w:rsidR="00E15BFD">
        <w:rPr>
          <w:rFonts w:eastAsia="Calibri"/>
        </w:rPr>
        <w:t>the</w:t>
      </w:r>
      <w:r w:rsidRPr="007452DD">
        <w:rPr>
          <w:rFonts w:eastAsia="Calibri"/>
        </w:rPr>
        <w:t xml:space="preserve"> types of jobs they aspire to</w:t>
      </w:r>
      <w:r w:rsidR="007969A0">
        <w:rPr>
          <w:rFonts w:eastAsia="Calibri"/>
        </w:rPr>
        <w:t xml:space="preserve"> at age 15</w:t>
      </w:r>
      <w:r w:rsidR="00437034">
        <w:rPr>
          <w:rFonts w:eastAsia="Calibri"/>
        </w:rPr>
        <w:t xml:space="preserve"> years</w:t>
      </w:r>
      <w:r w:rsidRPr="007452DD">
        <w:rPr>
          <w:rFonts w:eastAsia="Calibri"/>
        </w:rPr>
        <w:t>.</w:t>
      </w:r>
      <w:r w:rsidR="00A3381A">
        <w:rPr>
          <w:rFonts w:eastAsia="Calibri"/>
        </w:rPr>
        <w:t xml:space="preserve"> </w:t>
      </w:r>
      <w:r w:rsidR="00845C74">
        <w:t>Table</w:t>
      </w:r>
      <w:r w:rsidR="00C569CF">
        <w:t xml:space="preserve">s </w:t>
      </w:r>
      <w:r w:rsidR="00EB20BB">
        <w:t>8</w:t>
      </w:r>
      <w:r w:rsidR="00C569CF">
        <w:t xml:space="preserve"> and </w:t>
      </w:r>
      <w:r w:rsidR="00EB20BB">
        <w:t>9</w:t>
      </w:r>
      <w:r w:rsidR="00C569CF">
        <w:t xml:space="preserve"> list</w:t>
      </w:r>
      <w:r w:rsidR="00845C74">
        <w:t xml:space="preserve"> </w:t>
      </w:r>
      <w:r w:rsidR="00EE6392">
        <w:t xml:space="preserve">the </w:t>
      </w:r>
      <w:r w:rsidR="005A4DA2">
        <w:t xml:space="preserve">most popular job aspirations </w:t>
      </w:r>
      <w:r w:rsidR="00835878">
        <w:t xml:space="preserve">for </w:t>
      </w:r>
      <w:r w:rsidR="00FD6597">
        <w:t>the 19</w:t>
      </w:r>
      <w:r w:rsidR="00A76CB7">
        <w:t xml:space="preserve">98 </w:t>
      </w:r>
      <w:r w:rsidR="00FD6597">
        <w:t xml:space="preserve">LSAY </w:t>
      </w:r>
      <w:r w:rsidR="00A76CB7">
        <w:t>cohort</w:t>
      </w:r>
      <w:r w:rsidR="00C569CF">
        <w:t xml:space="preserve"> for males and females, respectively</w:t>
      </w:r>
      <w:r w:rsidR="00EE6392">
        <w:t>.</w:t>
      </w:r>
    </w:p>
    <w:p w:rsidR="0038754B" w:rsidRDefault="0038754B" w:rsidP="0038754B">
      <w:pPr>
        <w:pStyle w:val="Text"/>
      </w:pPr>
      <w:r>
        <w:t xml:space="preserve">These lists are dominated by high-status jobs such as lawyers, computing professionals, psychologists, accountants and teachers, in addition to several trade occupations. There is clearly some divide between the genders, with males being more likely to aspire to jobs in information technology, architecture and the trades, and females being more likely to aspire to jobs in teaching and nursing. These gender differences are important to keep in mind when interpreting the results later on. </w:t>
      </w:r>
    </w:p>
    <w:p w:rsidR="0038754B" w:rsidRDefault="0038754B">
      <w:pPr>
        <w:spacing w:before="0" w:line="240" w:lineRule="auto"/>
        <w:rPr>
          <w:rFonts w:ascii="Tahoma" w:eastAsia="Calibri" w:hAnsi="Tahoma"/>
          <w:b/>
          <w:sz w:val="17"/>
        </w:rPr>
      </w:pPr>
      <w:r>
        <w:rPr>
          <w:rFonts w:eastAsia="Calibri"/>
        </w:rPr>
        <w:br w:type="page"/>
      </w:r>
    </w:p>
    <w:p w:rsidR="003E1D51" w:rsidRDefault="003E1D51" w:rsidP="003E1D51">
      <w:pPr>
        <w:pStyle w:val="tabletitle"/>
        <w:rPr>
          <w:rFonts w:eastAsia="Calibri"/>
        </w:rPr>
      </w:pPr>
      <w:bookmarkStart w:id="77" w:name="_Toc377396985"/>
      <w:r w:rsidRPr="00F70A69">
        <w:rPr>
          <w:rFonts w:eastAsia="Calibri"/>
        </w:rPr>
        <w:lastRenderedPageBreak/>
        <w:t xml:space="preserve">Table </w:t>
      </w:r>
      <w:r w:rsidR="00EB20BB">
        <w:rPr>
          <w:rFonts w:eastAsia="Calibri"/>
        </w:rPr>
        <w:t>8</w:t>
      </w:r>
      <w:r>
        <w:rPr>
          <w:rFonts w:eastAsia="Calibri"/>
        </w:rPr>
        <w:tab/>
        <w:t>M</w:t>
      </w:r>
      <w:r w:rsidRPr="00F70A69">
        <w:rPr>
          <w:rFonts w:eastAsia="Calibri"/>
        </w:rPr>
        <w:t>ost popular job</w:t>
      </w:r>
      <w:r w:rsidR="00FD6597">
        <w:rPr>
          <w:rFonts w:eastAsia="Calibri"/>
        </w:rPr>
        <w:t xml:space="preserve"> aspirations, LSAY 19</w:t>
      </w:r>
      <w:r>
        <w:rPr>
          <w:rFonts w:eastAsia="Calibri"/>
        </w:rPr>
        <w:t>98 cohort, age 15</w:t>
      </w:r>
      <w:r w:rsidR="00DF6F4A">
        <w:rPr>
          <w:rFonts w:eastAsia="Calibri"/>
        </w:rPr>
        <w:t xml:space="preserve"> years</w:t>
      </w:r>
      <w:r>
        <w:rPr>
          <w:rFonts w:eastAsia="Calibri"/>
        </w:rPr>
        <w:t xml:space="preserve">, </w:t>
      </w:r>
      <w:r w:rsidR="005851B2">
        <w:rPr>
          <w:rFonts w:eastAsia="Calibri"/>
        </w:rPr>
        <w:t>m</w:t>
      </w:r>
      <w:r>
        <w:rPr>
          <w:rFonts w:eastAsia="Calibri"/>
        </w:rPr>
        <w:t>ales</w:t>
      </w:r>
      <w:bookmarkEnd w:id="77"/>
    </w:p>
    <w:tbl>
      <w:tblPr>
        <w:tblW w:w="8789" w:type="dxa"/>
        <w:tblInd w:w="113" w:type="dxa"/>
        <w:tblLayout w:type="fixed"/>
        <w:tblCellMar>
          <w:left w:w="113" w:type="dxa"/>
          <w:right w:w="113" w:type="dxa"/>
        </w:tblCellMar>
        <w:tblLook w:val="0000" w:firstRow="0" w:lastRow="0" w:firstColumn="0" w:lastColumn="0" w:noHBand="0" w:noVBand="0"/>
      </w:tblPr>
      <w:tblGrid>
        <w:gridCol w:w="4678"/>
        <w:gridCol w:w="1843"/>
        <w:gridCol w:w="2268"/>
      </w:tblGrid>
      <w:tr w:rsidR="00A3381A" w:rsidRPr="00E5745D" w:rsidTr="00F51502">
        <w:tc>
          <w:tcPr>
            <w:tcW w:w="4678" w:type="dxa"/>
            <w:tcBorders>
              <w:top w:val="single" w:sz="4" w:space="0" w:color="auto"/>
              <w:bottom w:val="single" w:sz="4" w:space="0" w:color="auto"/>
            </w:tcBorders>
            <w:shd w:val="clear" w:color="auto" w:fill="auto"/>
          </w:tcPr>
          <w:p w:rsidR="00A3381A" w:rsidRPr="00E5745D" w:rsidRDefault="00A3381A" w:rsidP="00F51502">
            <w:pPr>
              <w:pStyle w:val="Tablehead1"/>
              <w:rPr>
                <w:rFonts w:eastAsia="Calibri"/>
              </w:rPr>
            </w:pPr>
            <w:r w:rsidRPr="00E5745D">
              <w:rPr>
                <w:rFonts w:eastAsia="Calibri"/>
              </w:rPr>
              <w:t>Occupation</w:t>
            </w:r>
            <w:r>
              <w:rPr>
                <w:rFonts w:eastAsia="Calibri"/>
              </w:rPr>
              <w:t xml:space="preserve"> (ASCO 4-digit)</w:t>
            </w:r>
          </w:p>
        </w:tc>
        <w:tc>
          <w:tcPr>
            <w:tcW w:w="1843" w:type="dxa"/>
            <w:tcBorders>
              <w:top w:val="single" w:sz="4" w:space="0" w:color="auto"/>
              <w:bottom w:val="single" w:sz="4" w:space="0" w:color="auto"/>
            </w:tcBorders>
          </w:tcPr>
          <w:p w:rsidR="00A3381A" w:rsidRPr="00E5745D" w:rsidRDefault="00C7109F" w:rsidP="00F51502">
            <w:pPr>
              <w:pStyle w:val="Tablehead1"/>
              <w:jc w:val="center"/>
              <w:rPr>
                <w:rFonts w:eastAsia="Calibri"/>
              </w:rPr>
            </w:pPr>
            <w:r>
              <w:rPr>
                <w:rFonts w:eastAsia="Calibri"/>
              </w:rPr>
              <w:t>n</w:t>
            </w:r>
          </w:p>
        </w:tc>
        <w:tc>
          <w:tcPr>
            <w:tcW w:w="2268" w:type="dxa"/>
            <w:tcBorders>
              <w:top w:val="single" w:sz="4" w:space="0" w:color="auto"/>
              <w:bottom w:val="single" w:sz="4" w:space="0" w:color="auto"/>
            </w:tcBorders>
            <w:shd w:val="clear" w:color="auto" w:fill="auto"/>
            <w:tcMar>
              <w:left w:w="0" w:type="dxa"/>
              <w:right w:w="0" w:type="dxa"/>
            </w:tcMar>
          </w:tcPr>
          <w:p w:rsidR="00A3381A" w:rsidRPr="00E5745D" w:rsidRDefault="00A3381A" w:rsidP="00F51502">
            <w:pPr>
              <w:pStyle w:val="Tablehead1"/>
              <w:jc w:val="center"/>
              <w:rPr>
                <w:rFonts w:eastAsia="Calibri"/>
              </w:rPr>
            </w:pPr>
            <w:r w:rsidRPr="00E5745D">
              <w:rPr>
                <w:rFonts w:eastAsia="Calibri"/>
              </w:rPr>
              <w:t xml:space="preserve">% of sample who aspired </w:t>
            </w:r>
            <w:r w:rsidR="00F51502">
              <w:rPr>
                <w:rFonts w:eastAsia="Calibri"/>
              </w:rPr>
              <w:br/>
            </w:r>
            <w:r w:rsidRPr="00E5745D">
              <w:rPr>
                <w:rFonts w:eastAsia="Calibri"/>
              </w:rPr>
              <w:t>to this occupation</w:t>
            </w:r>
          </w:p>
        </w:tc>
      </w:tr>
      <w:tr w:rsidR="00A3381A" w:rsidRPr="00E5745D" w:rsidTr="00F51502">
        <w:tc>
          <w:tcPr>
            <w:tcW w:w="4678" w:type="dxa"/>
            <w:tcBorders>
              <w:top w:val="single" w:sz="4" w:space="0" w:color="auto"/>
            </w:tcBorders>
            <w:shd w:val="clear" w:color="auto" w:fill="auto"/>
          </w:tcPr>
          <w:p w:rsidR="00A3381A" w:rsidRPr="005F3642" w:rsidRDefault="00A3381A" w:rsidP="00F51502">
            <w:pPr>
              <w:pStyle w:val="Tabletext"/>
              <w:rPr>
                <w:rFonts w:eastAsia="Calibri"/>
              </w:rPr>
            </w:pPr>
            <w:r w:rsidRPr="005F3642">
              <w:rPr>
                <w:rFonts w:eastAsia="Calibri"/>
              </w:rPr>
              <w:t xml:space="preserve">Computing </w:t>
            </w:r>
            <w:r w:rsidR="00437034" w:rsidRPr="005F3642">
              <w:rPr>
                <w:rFonts w:eastAsia="Calibri"/>
              </w:rPr>
              <w:t>support technicians</w:t>
            </w:r>
          </w:p>
        </w:tc>
        <w:tc>
          <w:tcPr>
            <w:tcW w:w="1843" w:type="dxa"/>
            <w:tcBorders>
              <w:top w:val="single" w:sz="4" w:space="0" w:color="auto"/>
            </w:tcBorders>
          </w:tcPr>
          <w:p w:rsidR="00A3381A" w:rsidRPr="00E5745D" w:rsidRDefault="00A3381A" w:rsidP="00F51502">
            <w:pPr>
              <w:pStyle w:val="Tabletext"/>
              <w:tabs>
                <w:tab w:val="decimal" w:pos="879"/>
              </w:tabs>
              <w:rPr>
                <w:rFonts w:eastAsia="Calibri"/>
              </w:rPr>
            </w:pPr>
            <w:r>
              <w:rPr>
                <w:rFonts w:eastAsia="Calibri"/>
              </w:rPr>
              <w:t>76</w:t>
            </w:r>
          </w:p>
        </w:tc>
        <w:tc>
          <w:tcPr>
            <w:tcW w:w="2268" w:type="dxa"/>
            <w:tcBorders>
              <w:top w:val="single" w:sz="4" w:space="0" w:color="auto"/>
            </w:tcBorders>
            <w:shd w:val="clear" w:color="auto" w:fill="auto"/>
          </w:tcPr>
          <w:p w:rsidR="00A3381A" w:rsidRPr="00E5745D" w:rsidRDefault="00A3381A" w:rsidP="00F51502">
            <w:pPr>
              <w:pStyle w:val="Tabletext"/>
              <w:tabs>
                <w:tab w:val="decimal" w:pos="1021"/>
              </w:tabs>
              <w:rPr>
                <w:rFonts w:eastAsia="Calibri"/>
              </w:rPr>
            </w:pPr>
            <w:r>
              <w:rPr>
                <w:rFonts w:eastAsia="Calibri"/>
              </w:rPr>
              <w:t>7.2</w:t>
            </w:r>
          </w:p>
        </w:tc>
      </w:tr>
      <w:tr w:rsidR="00A3381A" w:rsidRPr="00E5745D" w:rsidTr="00F51502">
        <w:tc>
          <w:tcPr>
            <w:tcW w:w="4678" w:type="dxa"/>
            <w:shd w:val="clear" w:color="auto" w:fill="auto"/>
          </w:tcPr>
          <w:p w:rsidR="00A3381A" w:rsidRPr="005F3642" w:rsidRDefault="00A3381A" w:rsidP="00F51502">
            <w:pPr>
              <w:pStyle w:val="Tabletext"/>
              <w:rPr>
                <w:rFonts w:eastAsia="Calibri"/>
              </w:rPr>
            </w:pPr>
            <w:r w:rsidRPr="005F3642">
              <w:rPr>
                <w:rFonts w:eastAsia="Calibri"/>
              </w:rPr>
              <w:t xml:space="preserve">Motor </w:t>
            </w:r>
            <w:r w:rsidR="00437034" w:rsidRPr="005F3642">
              <w:rPr>
                <w:rFonts w:eastAsia="Calibri"/>
              </w:rPr>
              <w:t>mechanics</w:t>
            </w:r>
          </w:p>
        </w:tc>
        <w:tc>
          <w:tcPr>
            <w:tcW w:w="1843" w:type="dxa"/>
          </w:tcPr>
          <w:p w:rsidR="00A3381A" w:rsidRPr="00E5745D" w:rsidRDefault="00A3381A" w:rsidP="00F51502">
            <w:pPr>
              <w:pStyle w:val="Tabletext"/>
              <w:tabs>
                <w:tab w:val="decimal" w:pos="879"/>
              </w:tabs>
              <w:rPr>
                <w:rFonts w:eastAsia="Calibri"/>
              </w:rPr>
            </w:pPr>
            <w:r>
              <w:rPr>
                <w:rFonts w:eastAsia="Calibri"/>
              </w:rPr>
              <w:t>47</w:t>
            </w:r>
          </w:p>
        </w:tc>
        <w:tc>
          <w:tcPr>
            <w:tcW w:w="2268" w:type="dxa"/>
            <w:shd w:val="clear" w:color="auto" w:fill="auto"/>
          </w:tcPr>
          <w:p w:rsidR="00A3381A" w:rsidRPr="00E5745D" w:rsidRDefault="00A3381A" w:rsidP="00F51502">
            <w:pPr>
              <w:pStyle w:val="Tabletext"/>
              <w:tabs>
                <w:tab w:val="decimal" w:pos="1021"/>
              </w:tabs>
              <w:rPr>
                <w:rFonts w:eastAsia="Calibri"/>
              </w:rPr>
            </w:pPr>
            <w:r>
              <w:rPr>
                <w:rFonts w:eastAsia="Calibri"/>
              </w:rPr>
              <w:t>4.4</w:t>
            </w:r>
          </w:p>
        </w:tc>
      </w:tr>
      <w:tr w:rsidR="00A3381A" w:rsidRPr="00E5745D" w:rsidTr="00F51502">
        <w:tc>
          <w:tcPr>
            <w:tcW w:w="4678" w:type="dxa"/>
            <w:shd w:val="clear" w:color="auto" w:fill="auto"/>
          </w:tcPr>
          <w:p w:rsidR="00A3381A" w:rsidRPr="005F3642" w:rsidRDefault="00A3381A" w:rsidP="00F51502">
            <w:pPr>
              <w:pStyle w:val="Tabletext"/>
              <w:rPr>
                <w:rFonts w:eastAsia="Calibri"/>
              </w:rPr>
            </w:pPr>
            <w:r w:rsidRPr="005F3642">
              <w:rPr>
                <w:rFonts w:eastAsia="Calibri"/>
              </w:rPr>
              <w:t xml:space="preserve">Police </w:t>
            </w:r>
            <w:r w:rsidR="00437034" w:rsidRPr="005F3642">
              <w:rPr>
                <w:rFonts w:eastAsia="Calibri"/>
              </w:rPr>
              <w:t>officers</w:t>
            </w:r>
          </w:p>
        </w:tc>
        <w:tc>
          <w:tcPr>
            <w:tcW w:w="1843" w:type="dxa"/>
          </w:tcPr>
          <w:p w:rsidR="00A3381A" w:rsidRPr="00E5745D" w:rsidRDefault="00A3381A" w:rsidP="00F51502">
            <w:pPr>
              <w:pStyle w:val="Tabletext"/>
              <w:tabs>
                <w:tab w:val="decimal" w:pos="879"/>
              </w:tabs>
              <w:rPr>
                <w:rFonts w:eastAsia="Calibri"/>
              </w:rPr>
            </w:pPr>
            <w:r>
              <w:rPr>
                <w:rFonts w:eastAsia="Calibri"/>
              </w:rPr>
              <w:t>41</w:t>
            </w:r>
          </w:p>
        </w:tc>
        <w:tc>
          <w:tcPr>
            <w:tcW w:w="2268" w:type="dxa"/>
            <w:shd w:val="clear" w:color="auto" w:fill="auto"/>
          </w:tcPr>
          <w:p w:rsidR="00A3381A" w:rsidRPr="00E5745D" w:rsidRDefault="00A3381A" w:rsidP="00F51502">
            <w:pPr>
              <w:pStyle w:val="Tabletext"/>
              <w:tabs>
                <w:tab w:val="decimal" w:pos="1021"/>
              </w:tabs>
              <w:rPr>
                <w:rFonts w:eastAsia="Calibri"/>
              </w:rPr>
            </w:pPr>
            <w:r>
              <w:rPr>
                <w:rFonts w:eastAsia="Calibri"/>
              </w:rPr>
              <w:t>3.9</w:t>
            </w:r>
          </w:p>
        </w:tc>
      </w:tr>
      <w:tr w:rsidR="00A3381A" w:rsidRPr="00E5745D" w:rsidTr="00F51502">
        <w:tc>
          <w:tcPr>
            <w:tcW w:w="4678" w:type="dxa"/>
            <w:shd w:val="clear" w:color="auto" w:fill="auto"/>
          </w:tcPr>
          <w:p w:rsidR="00A3381A" w:rsidRPr="005F3642" w:rsidRDefault="00A3381A" w:rsidP="00F51502">
            <w:pPr>
              <w:pStyle w:val="Tabletext"/>
              <w:rPr>
                <w:rFonts w:eastAsia="Calibri"/>
              </w:rPr>
            </w:pPr>
            <w:r w:rsidRPr="005F3642">
              <w:rPr>
                <w:rFonts w:eastAsia="Calibri"/>
              </w:rPr>
              <w:t xml:space="preserve">Computing </w:t>
            </w:r>
            <w:r w:rsidR="00437034" w:rsidRPr="005F3642">
              <w:rPr>
                <w:rFonts w:eastAsia="Calibri"/>
              </w:rPr>
              <w:t>professionals</w:t>
            </w:r>
          </w:p>
        </w:tc>
        <w:tc>
          <w:tcPr>
            <w:tcW w:w="1843" w:type="dxa"/>
          </w:tcPr>
          <w:p w:rsidR="00A3381A" w:rsidRPr="00E5745D" w:rsidRDefault="00A3381A" w:rsidP="00F51502">
            <w:pPr>
              <w:pStyle w:val="Tabletext"/>
              <w:tabs>
                <w:tab w:val="decimal" w:pos="879"/>
              </w:tabs>
              <w:rPr>
                <w:rFonts w:eastAsia="Calibri"/>
              </w:rPr>
            </w:pPr>
            <w:r>
              <w:rPr>
                <w:rFonts w:eastAsia="Calibri"/>
              </w:rPr>
              <w:t>40</w:t>
            </w:r>
          </w:p>
        </w:tc>
        <w:tc>
          <w:tcPr>
            <w:tcW w:w="2268" w:type="dxa"/>
            <w:shd w:val="clear" w:color="auto" w:fill="auto"/>
          </w:tcPr>
          <w:p w:rsidR="00A3381A" w:rsidRPr="00E5745D" w:rsidRDefault="00A3381A" w:rsidP="00F51502">
            <w:pPr>
              <w:pStyle w:val="Tabletext"/>
              <w:tabs>
                <w:tab w:val="decimal" w:pos="1021"/>
              </w:tabs>
              <w:rPr>
                <w:rFonts w:eastAsia="Calibri"/>
              </w:rPr>
            </w:pPr>
            <w:r>
              <w:rPr>
                <w:rFonts w:eastAsia="Calibri"/>
              </w:rPr>
              <w:t>3.7</w:t>
            </w:r>
          </w:p>
        </w:tc>
      </w:tr>
      <w:tr w:rsidR="00A3381A" w:rsidRPr="00E5745D" w:rsidTr="00F51502">
        <w:tc>
          <w:tcPr>
            <w:tcW w:w="4678" w:type="dxa"/>
            <w:shd w:val="clear" w:color="auto" w:fill="auto"/>
          </w:tcPr>
          <w:p w:rsidR="00A3381A" w:rsidRPr="005F3642" w:rsidRDefault="00A3381A" w:rsidP="00F51502">
            <w:pPr>
              <w:pStyle w:val="Tabletext"/>
              <w:rPr>
                <w:rFonts w:eastAsia="Calibri"/>
              </w:rPr>
            </w:pPr>
            <w:r w:rsidRPr="005F3642">
              <w:rPr>
                <w:rFonts w:eastAsia="Calibri"/>
              </w:rPr>
              <w:t xml:space="preserve">Architects and </w:t>
            </w:r>
            <w:r w:rsidR="00437034" w:rsidRPr="005F3642">
              <w:rPr>
                <w:rFonts w:eastAsia="Calibri"/>
              </w:rPr>
              <w:t>landscape architects</w:t>
            </w:r>
          </w:p>
        </w:tc>
        <w:tc>
          <w:tcPr>
            <w:tcW w:w="1843" w:type="dxa"/>
          </w:tcPr>
          <w:p w:rsidR="00A3381A" w:rsidRPr="00E5745D" w:rsidRDefault="00A3381A" w:rsidP="00F51502">
            <w:pPr>
              <w:pStyle w:val="Tabletext"/>
              <w:tabs>
                <w:tab w:val="decimal" w:pos="879"/>
              </w:tabs>
              <w:rPr>
                <w:rFonts w:eastAsia="Calibri"/>
              </w:rPr>
            </w:pPr>
            <w:r>
              <w:rPr>
                <w:rFonts w:eastAsia="Calibri"/>
              </w:rPr>
              <w:t>37</w:t>
            </w:r>
          </w:p>
        </w:tc>
        <w:tc>
          <w:tcPr>
            <w:tcW w:w="2268" w:type="dxa"/>
            <w:shd w:val="clear" w:color="auto" w:fill="auto"/>
          </w:tcPr>
          <w:p w:rsidR="00A3381A" w:rsidRPr="00E5745D" w:rsidRDefault="00A3381A" w:rsidP="00F51502">
            <w:pPr>
              <w:pStyle w:val="Tabletext"/>
              <w:tabs>
                <w:tab w:val="decimal" w:pos="1021"/>
              </w:tabs>
              <w:rPr>
                <w:rFonts w:eastAsia="Calibri"/>
              </w:rPr>
            </w:pPr>
            <w:r>
              <w:rPr>
                <w:rFonts w:eastAsia="Calibri"/>
              </w:rPr>
              <w:t>3.5</w:t>
            </w:r>
          </w:p>
        </w:tc>
      </w:tr>
      <w:tr w:rsidR="00A3381A" w:rsidRPr="00E5745D" w:rsidTr="00F51502">
        <w:tc>
          <w:tcPr>
            <w:tcW w:w="4678" w:type="dxa"/>
            <w:shd w:val="clear" w:color="auto" w:fill="auto"/>
          </w:tcPr>
          <w:p w:rsidR="00A3381A" w:rsidRPr="005F3642" w:rsidRDefault="00A3381A" w:rsidP="00F51502">
            <w:pPr>
              <w:pStyle w:val="Tabletext"/>
              <w:rPr>
                <w:rFonts w:eastAsia="Calibri"/>
              </w:rPr>
            </w:pPr>
            <w:r w:rsidRPr="005F3642">
              <w:rPr>
                <w:rFonts w:eastAsia="Calibri"/>
              </w:rPr>
              <w:t xml:space="preserve">Other </w:t>
            </w:r>
            <w:r w:rsidR="00437034" w:rsidRPr="005F3642">
              <w:rPr>
                <w:rFonts w:eastAsia="Calibri"/>
              </w:rPr>
              <w:t>building and engineering professionals</w:t>
            </w:r>
          </w:p>
        </w:tc>
        <w:tc>
          <w:tcPr>
            <w:tcW w:w="1843" w:type="dxa"/>
          </w:tcPr>
          <w:p w:rsidR="00A3381A" w:rsidRPr="00E5745D" w:rsidRDefault="00A3381A" w:rsidP="00F51502">
            <w:pPr>
              <w:pStyle w:val="Tabletext"/>
              <w:tabs>
                <w:tab w:val="decimal" w:pos="879"/>
              </w:tabs>
              <w:rPr>
                <w:rFonts w:eastAsia="Calibri"/>
              </w:rPr>
            </w:pPr>
            <w:r>
              <w:rPr>
                <w:rFonts w:eastAsia="Calibri"/>
              </w:rPr>
              <w:t>37</w:t>
            </w:r>
          </w:p>
        </w:tc>
        <w:tc>
          <w:tcPr>
            <w:tcW w:w="2268" w:type="dxa"/>
            <w:shd w:val="clear" w:color="auto" w:fill="auto"/>
          </w:tcPr>
          <w:p w:rsidR="00A3381A" w:rsidRPr="00E5745D" w:rsidRDefault="00A3381A" w:rsidP="00F51502">
            <w:pPr>
              <w:pStyle w:val="Tabletext"/>
              <w:tabs>
                <w:tab w:val="decimal" w:pos="1021"/>
              </w:tabs>
              <w:rPr>
                <w:rFonts w:eastAsia="Calibri"/>
              </w:rPr>
            </w:pPr>
            <w:r>
              <w:rPr>
                <w:rFonts w:eastAsia="Calibri"/>
              </w:rPr>
              <w:t>3.5</w:t>
            </w:r>
          </w:p>
        </w:tc>
      </w:tr>
      <w:tr w:rsidR="00A3381A" w:rsidRPr="00E5745D" w:rsidTr="00F51502">
        <w:tc>
          <w:tcPr>
            <w:tcW w:w="4678" w:type="dxa"/>
            <w:shd w:val="clear" w:color="auto" w:fill="auto"/>
          </w:tcPr>
          <w:p w:rsidR="00A3381A" w:rsidRPr="005F3642" w:rsidRDefault="00A3381A" w:rsidP="00F51502">
            <w:pPr>
              <w:pStyle w:val="Tabletext"/>
              <w:rPr>
                <w:rFonts w:eastAsia="Calibri"/>
              </w:rPr>
            </w:pPr>
            <w:r w:rsidRPr="005F3642">
              <w:rPr>
                <w:rFonts w:eastAsia="Calibri"/>
              </w:rPr>
              <w:t xml:space="preserve">Legal </w:t>
            </w:r>
            <w:r w:rsidR="00437034" w:rsidRPr="005F3642">
              <w:rPr>
                <w:rFonts w:eastAsia="Calibri"/>
              </w:rPr>
              <w:t>professionals</w:t>
            </w:r>
          </w:p>
        </w:tc>
        <w:tc>
          <w:tcPr>
            <w:tcW w:w="1843" w:type="dxa"/>
          </w:tcPr>
          <w:p w:rsidR="00A3381A" w:rsidRPr="00E5745D" w:rsidRDefault="00A3381A" w:rsidP="00F51502">
            <w:pPr>
              <w:pStyle w:val="Tabletext"/>
              <w:tabs>
                <w:tab w:val="decimal" w:pos="879"/>
              </w:tabs>
              <w:rPr>
                <w:rFonts w:eastAsia="Calibri"/>
              </w:rPr>
            </w:pPr>
            <w:r>
              <w:rPr>
                <w:rFonts w:eastAsia="Calibri"/>
              </w:rPr>
              <w:t>37</w:t>
            </w:r>
          </w:p>
        </w:tc>
        <w:tc>
          <w:tcPr>
            <w:tcW w:w="2268" w:type="dxa"/>
            <w:shd w:val="clear" w:color="auto" w:fill="auto"/>
          </w:tcPr>
          <w:p w:rsidR="00A3381A" w:rsidRPr="00E5745D" w:rsidRDefault="00A3381A" w:rsidP="00F51502">
            <w:pPr>
              <w:pStyle w:val="Tabletext"/>
              <w:tabs>
                <w:tab w:val="decimal" w:pos="1021"/>
              </w:tabs>
              <w:rPr>
                <w:rFonts w:eastAsia="Calibri"/>
              </w:rPr>
            </w:pPr>
            <w:r>
              <w:rPr>
                <w:rFonts w:eastAsia="Calibri"/>
              </w:rPr>
              <w:t>3.5</w:t>
            </w:r>
          </w:p>
        </w:tc>
      </w:tr>
      <w:tr w:rsidR="00A3381A" w:rsidRPr="00E5745D" w:rsidTr="00F51502">
        <w:tc>
          <w:tcPr>
            <w:tcW w:w="4678" w:type="dxa"/>
            <w:shd w:val="clear" w:color="auto" w:fill="auto"/>
          </w:tcPr>
          <w:p w:rsidR="00A3381A" w:rsidRPr="005F3642" w:rsidRDefault="00A3381A" w:rsidP="00F51502">
            <w:pPr>
              <w:pStyle w:val="Tabletext"/>
              <w:rPr>
                <w:rFonts w:eastAsia="Calibri"/>
              </w:rPr>
            </w:pPr>
            <w:r w:rsidRPr="005F3642">
              <w:rPr>
                <w:rFonts w:eastAsia="Calibri"/>
              </w:rPr>
              <w:t>Accountants</w:t>
            </w:r>
          </w:p>
        </w:tc>
        <w:tc>
          <w:tcPr>
            <w:tcW w:w="1843" w:type="dxa"/>
          </w:tcPr>
          <w:p w:rsidR="00A3381A" w:rsidRPr="00E5745D" w:rsidRDefault="00A3381A" w:rsidP="00F51502">
            <w:pPr>
              <w:pStyle w:val="Tabletext"/>
              <w:tabs>
                <w:tab w:val="decimal" w:pos="879"/>
              </w:tabs>
              <w:rPr>
                <w:rFonts w:eastAsia="Calibri"/>
              </w:rPr>
            </w:pPr>
            <w:r>
              <w:rPr>
                <w:rFonts w:eastAsia="Calibri"/>
              </w:rPr>
              <w:t>35</w:t>
            </w:r>
          </w:p>
        </w:tc>
        <w:tc>
          <w:tcPr>
            <w:tcW w:w="2268" w:type="dxa"/>
            <w:shd w:val="clear" w:color="auto" w:fill="auto"/>
          </w:tcPr>
          <w:p w:rsidR="00A3381A" w:rsidRPr="00E5745D" w:rsidRDefault="00A3381A" w:rsidP="00F51502">
            <w:pPr>
              <w:pStyle w:val="Tabletext"/>
              <w:tabs>
                <w:tab w:val="decimal" w:pos="1021"/>
              </w:tabs>
              <w:rPr>
                <w:rFonts w:eastAsia="Calibri"/>
              </w:rPr>
            </w:pPr>
            <w:r>
              <w:rPr>
                <w:rFonts w:eastAsia="Calibri"/>
              </w:rPr>
              <w:t>3.3</w:t>
            </w:r>
          </w:p>
        </w:tc>
      </w:tr>
      <w:tr w:rsidR="00A3381A" w:rsidRPr="00E5745D" w:rsidTr="00F51502">
        <w:tc>
          <w:tcPr>
            <w:tcW w:w="4678" w:type="dxa"/>
            <w:shd w:val="clear" w:color="auto" w:fill="auto"/>
          </w:tcPr>
          <w:p w:rsidR="00A3381A" w:rsidRPr="005F3642" w:rsidRDefault="00A3381A" w:rsidP="00F51502">
            <w:pPr>
              <w:pStyle w:val="Tabletext"/>
              <w:rPr>
                <w:rFonts w:eastAsia="Calibri"/>
              </w:rPr>
            </w:pPr>
            <w:r w:rsidRPr="005F3642">
              <w:rPr>
                <w:rFonts w:eastAsia="Calibri"/>
              </w:rPr>
              <w:t xml:space="preserve">Carpentry and </w:t>
            </w:r>
            <w:r w:rsidR="00437034" w:rsidRPr="005F3642">
              <w:rPr>
                <w:rFonts w:eastAsia="Calibri"/>
              </w:rPr>
              <w:t>joinery tradespersons</w:t>
            </w:r>
          </w:p>
        </w:tc>
        <w:tc>
          <w:tcPr>
            <w:tcW w:w="1843" w:type="dxa"/>
          </w:tcPr>
          <w:p w:rsidR="00A3381A" w:rsidRPr="00E5745D" w:rsidRDefault="00A3381A" w:rsidP="00F51502">
            <w:pPr>
              <w:pStyle w:val="Tabletext"/>
              <w:tabs>
                <w:tab w:val="decimal" w:pos="879"/>
              </w:tabs>
              <w:rPr>
                <w:rFonts w:eastAsia="Calibri"/>
              </w:rPr>
            </w:pPr>
            <w:r>
              <w:rPr>
                <w:rFonts w:eastAsia="Calibri"/>
              </w:rPr>
              <w:t>33</w:t>
            </w:r>
          </w:p>
        </w:tc>
        <w:tc>
          <w:tcPr>
            <w:tcW w:w="2268" w:type="dxa"/>
            <w:shd w:val="clear" w:color="auto" w:fill="auto"/>
          </w:tcPr>
          <w:p w:rsidR="00A3381A" w:rsidRPr="00E5745D" w:rsidRDefault="00A3381A" w:rsidP="00F51502">
            <w:pPr>
              <w:pStyle w:val="Tabletext"/>
              <w:tabs>
                <w:tab w:val="decimal" w:pos="1021"/>
              </w:tabs>
              <w:rPr>
                <w:rFonts w:eastAsia="Calibri"/>
              </w:rPr>
            </w:pPr>
            <w:r>
              <w:rPr>
                <w:rFonts w:eastAsia="Calibri"/>
              </w:rPr>
              <w:t>3.1</w:t>
            </w:r>
          </w:p>
        </w:tc>
      </w:tr>
      <w:tr w:rsidR="00A3381A" w:rsidRPr="00E5745D" w:rsidTr="00F51502">
        <w:tc>
          <w:tcPr>
            <w:tcW w:w="4678" w:type="dxa"/>
            <w:shd w:val="clear" w:color="auto" w:fill="auto"/>
          </w:tcPr>
          <w:p w:rsidR="00A3381A" w:rsidRPr="005F3642" w:rsidRDefault="00A3381A" w:rsidP="00F51502">
            <w:pPr>
              <w:pStyle w:val="Tabletext"/>
              <w:rPr>
                <w:rFonts w:eastAsia="Calibri"/>
              </w:rPr>
            </w:pPr>
            <w:r w:rsidRPr="005F3642">
              <w:rPr>
                <w:rFonts w:eastAsia="Calibri"/>
              </w:rPr>
              <w:t xml:space="preserve">Electrical and </w:t>
            </w:r>
            <w:r w:rsidR="00437034" w:rsidRPr="005F3642">
              <w:rPr>
                <w:rFonts w:eastAsia="Calibri"/>
              </w:rPr>
              <w:t>electronics engineers</w:t>
            </w:r>
          </w:p>
        </w:tc>
        <w:tc>
          <w:tcPr>
            <w:tcW w:w="1843" w:type="dxa"/>
          </w:tcPr>
          <w:p w:rsidR="00A3381A" w:rsidRDefault="00A3381A" w:rsidP="00F51502">
            <w:pPr>
              <w:pStyle w:val="Tabletext"/>
              <w:tabs>
                <w:tab w:val="decimal" w:pos="879"/>
              </w:tabs>
              <w:rPr>
                <w:rFonts w:eastAsia="Calibri"/>
              </w:rPr>
            </w:pPr>
            <w:r>
              <w:rPr>
                <w:rFonts w:eastAsia="Calibri"/>
              </w:rPr>
              <w:t>30</w:t>
            </w:r>
          </w:p>
        </w:tc>
        <w:tc>
          <w:tcPr>
            <w:tcW w:w="2268" w:type="dxa"/>
            <w:shd w:val="clear" w:color="auto" w:fill="auto"/>
          </w:tcPr>
          <w:p w:rsidR="00A3381A" w:rsidRPr="00E5745D" w:rsidRDefault="00A3381A" w:rsidP="00F51502">
            <w:pPr>
              <w:pStyle w:val="Tabletext"/>
              <w:tabs>
                <w:tab w:val="decimal" w:pos="1021"/>
              </w:tabs>
              <w:rPr>
                <w:rFonts w:eastAsia="Calibri"/>
              </w:rPr>
            </w:pPr>
            <w:r>
              <w:rPr>
                <w:rFonts w:eastAsia="Calibri"/>
              </w:rPr>
              <w:t>2.8</w:t>
            </w:r>
          </w:p>
        </w:tc>
      </w:tr>
      <w:tr w:rsidR="00A3381A" w:rsidRPr="00E5745D" w:rsidTr="00F51502">
        <w:tc>
          <w:tcPr>
            <w:tcW w:w="4678" w:type="dxa"/>
            <w:shd w:val="clear" w:color="auto" w:fill="auto"/>
          </w:tcPr>
          <w:p w:rsidR="00A3381A" w:rsidRPr="005F3642" w:rsidRDefault="00A3381A" w:rsidP="00F51502">
            <w:pPr>
              <w:pStyle w:val="Tabletext"/>
              <w:rPr>
                <w:rFonts w:eastAsia="Calibri"/>
              </w:rPr>
            </w:pPr>
            <w:r w:rsidRPr="005F3642">
              <w:rPr>
                <w:rFonts w:eastAsia="Calibri"/>
              </w:rPr>
              <w:t>Veterinarians</w:t>
            </w:r>
          </w:p>
        </w:tc>
        <w:tc>
          <w:tcPr>
            <w:tcW w:w="1843" w:type="dxa"/>
          </w:tcPr>
          <w:p w:rsidR="00A3381A" w:rsidRDefault="00A3381A" w:rsidP="00F51502">
            <w:pPr>
              <w:pStyle w:val="Tabletext"/>
              <w:tabs>
                <w:tab w:val="decimal" w:pos="879"/>
              </w:tabs>
              <w:rPr>
                <w:rFonts w:eastAsia="Calibri"/>
              </w:rPr>
            </w:pPr>
            <w:r>
              <w:rPr>
                <w:rFonts w:eastAsia="Calibri"/>
              </w:rPr>
              <w:t>23</w:t>
            </w:r>
          </w:p>
        </w:tc>
        <w:tc>
          <w:tcPr>
            <w:tcW w:w="2268" w:type="dxa"/>
            <w:shd w:val="clear" w:color="auto" w:fill="auto"/>
          </w:tcPr>
          <w:p w:rsidR="00A3381A" w:rsidRDefault="00A3381A" w:rsidP="00F51502">
            <w:pPr>
              <w:pStyle w:val="Tabletext"/>
              <w:tabs>
                <w:tab w:val="decimal" w:pos="1021"/>
              </w:tabs>
              <w:rPr>
                <w:rFonts w:eastAsia="Calibri"/>
              </w:rPr>
            </w:pPr>
            <w:r>
              <w:rPr>
                <w:rFonts w:eastAsia="Calibri"/>
              </w:rPr>
              <w:t>2.2</w:t>
            </w:r>
          </w:p>
        </w:tc>
      </w:tr>
      <w:tr w:rsidR="00A3381A" w:rsidRPr="00E5745D" w:rsidTr="00F51502">
        <w:tc>
          <w:tcPr>
            <w:tcW w:w="4678" w:type="dxa"/>
            <w:shd w:val="clear" w:color="auto" w:fill="auto"/>
          </w:tcPr>
          <w:p w:rsidR="00A3381A" w:rsidRPr="005F3642" w:rsidRDefault="00A3381A" w:rsidP="00F51502">
            <w:pPr>
              <w:pStyle w:val="Tabletext"/>
              <w:rPr>
                <w:rFonts w:eastAsia="Calibri"/>
              </w:rPr>
            </w:pPr>
            <w:r w:rsidRPr="005F3642">
              <w:rPr>
                <w:rFonts w:eastAsia="Calibri"/>
              </w:rPr>
              <w:t>Electricians</w:t>
            </w:r>
          </w:p>
        </w:tc>
        <w:tc>
          <w:tcPr>
            <w:tcW w:w="1843" w:type="dxa"/>
          </w:tcPr>
          <w:p w:rsidR="00A3381A" w:rsidRDefault="00A3381A" w:rsidP="00F51502">
            <w:pPr>
              <w:pStyle w:val="Tabletext"/>
              <w:tabs>
                <w:tab w:val="decimal" w:pos="879"/>
              </w:tabs>
              <w:rPr>
                <w:rFonts w:eastAsia="Calibri"/>
              </w:rPr>
            </w:pPr>
            <w:r>
              <w:rPr>
                <w:rFonts w:eastAsia="Calibri"/>
              </w:rPr>
              <w:t>23</w:t>
            </w:r>
          </w:p>
        </w:tc>
        <w:tc>
          <w:tcPr>
            <w:tcW w:w="2268" w:type="dxa"/>
            <w:shd w:val="clear" w:color="auto" w:fill="auto"/>
          </w:tcPr>
          <w:p w:rsidR="00A3381A" w:rsidRDefault="00A3381A" w:rsidP="00F51502">
            <w:pPr>
              <w:pStyle w:val="Tabletext"/>
              <w:tabs>
                <w:tab w:val="decimal" w:pos="1021"/>
              </w:tabs>
              <w:rPr>
                <w:rFonts w:eastAsia="Calibri"/>
              </w:rPr>
            </w:pPr>
            <w:r>
              <w:rPr>
                <w:rFonts w:eastAsia="Calibri"/>
              </w:rPr>
              <w:t>2.2</w:t>
            </w:r>
          </w:p>
        </w:tc>
      </w:tr>
      <w:tr w:rsidR="00A3381A" w:rsidRPr="00E5745D" w:rsidTr="00F51502">
        <w:tc>
          <w:tcPr>
            <w:tcW w:w="4678" w:type="dxa"/>
            <w:shd w:val="clear" w:color="auto" w:fill="auto"/>
          </w:tcPr>
          <w:p w:rsidR="00A3381A" w:rsidRPr="005F3642" w:rsidRDefault="00437034" w:rsidP="00F51502">
            <w:pPr>
              <w:pStyle w:val="Tabletext"/>
              <w:rPr>
                <w:rFonts w:eastAsia="Calibri"/>
              </w:rPr>
            </w:pPr>
            <w:r>
              <w:rPr>
                <w:rFonts w:eastAsia="Calibri"/>
              </w:rPr>
              <w:t>Designers and i</w:t>
            </w:r>
            <w:r w:rsidR="00A3381A" w:rsidRPr="005F3642">
              <w:rPr>
                <w:rFonts w:eastAsia="Calibri"/>
              </w:rPr>
              <w:t>llustrators</w:t>
            </w:r>
          </w:p>
        </w:tc>
        <w:tc>
          <w:tcPr>
            <w:tcW w:w="1843" w:type="dxa"/>
          </w:tcPr>
          <w:p w:rsidR="00A3381A" w:rsidRPr="00E5745D" w:rsidRDefault="00A3381A" w:rsidP="00F51502">
            <w:pPr>
              <w:pStyle w:val="Tabletext"/>
              <w:tabs>
                <w:tab w:val="decimal" w:pos="879"/>
              </w:tabs>
              <w:rPr>
                <w:rFonts w:eastAsia="Calibri"/>
              </w:rPr>
            </w:pPr>
            <w:r>
              <w:rPr>
                <w:rFonts w:eastAsia="Calibri"/>
              </w:rPr>
              <w:t>22</w:t>
            </w:r>
          </w:p>
        </w:tc>
        <w:tc>
          <w:tcPr>
            <w:tcW w:w="2268" w:type="dxa"/>
            <w:shd w:val="clear" w:color="auto" w:fill="auto"/>
          </w:tcPr>
          <w:p w:rsidR="00A3381A" w:rsidRPr="00E5745D" w:rsidRDefault="00A3381A" w:rsidP="00F51502">
            <w:pPr>
              <w:pStyle w:val="Tabletext"/>
              <w:tabs>
                <w:tab w:val="decimal" w:pos="1021"/>
              </w:tabs>
              <w:rPr>
                <w:rFonts w:eastAsia="Calibri"/>
              </w:rPr>
            </w:pPr>
            <w:r>
              <w:rPr>
                <w:rFonts w:eastAsia="Calibri"/>
              </w:rPr>
              <w:t>2.1</w:t>
            </w:r>
          </w:p>
        </w:tc>
      </w:tr>
      <w:tr w:rsidR="00A3381A" w:rsidRPr="00E5745D" w:rsidTr="00F51502">
        <w:tc>
          <w:tcPr>
            <w:tcW w:w="4678" w:type="dxa"/>
            <w:tcBorders>
              <w:bottom w:val="single" w:sz="4" w:space="0" w:color="auto"/>
            </w:tcBorders>
            <w:shd w:val="clear" w:color="auto" w:fill="auto"/>
          </w:tcPr>
          <w:p w:rsidR="00A3381A" w:rsidRPr="005F3642" w:rsidRDefault="00A3381A" w:rsidP="00F51502">
            <w:pPr>
              <w:pStyle w:val="Tabletext"/>
              <w:rPr>
                <w:rFonts w:eastAsia="Calibri"/>
              </w:rPr>
            </w:pPr>
            <w:r w:rsidRPr="005F3642">
              <w:rPr>
                <w:rFonts w:eastAsia="Calibri"/>
              </w:rPr>
              <w:t xml:space="preserve">Senior </w:t>
            </w:r>
            <w:r w:rsidR="00437034" w:rsidRPr="005F3642">
              <w:rPr>
                <w:rFonts w:eastAsia="Calibri"/>
              </w:rPr>
              <w:t>non-commissioned defence force officers</w:t>
            </w:r>
          </w:p>
        </w:tc>
        <w:tc>
          <w:tcPr>
            <w:tcW w:w="1843" w:type="dxa"/>
            <w:tcBorders>
              <w:bottom w:val="single" w:sz="4" w:space="0" w:color="auto"/>
            </w:tcBorders>
          </w:tcPr>
          <w:p w:rsidR="00A3381A" w:rsidRDefault="00A3381A" w:rsidP="00F51502">
            <w:pPr>
              <w:pStyle w:val="Tabletext"/>
              <w:tabs>
                <w:tab w:val="decimal" w:pos="879"/>
              </w:tabs>
              <w:rPr>
                <w:rFonts w:eastAsia="Calibri"/>
              </w:rPr>
            </w:pPr>
            <w:r>
              <w:rPr>
                <w:rFonts w:eastAsia="Calibri"/>
              </w:rPr>
              <w:t>22</w:t>
            </w:r>
          </w:p>
        </w:tc>
        <w:tc>
          <w:tcPr>
            <w:tcW w:w="2268" w:type="dxa"/>
            <w:tcBorders>
              <w:bottom w:val="single" w:sz="4" w:space="0" w:color="auto"/>
            </w:tcBorders>
            <w:shd w:val="clear" w:color="auto" w:fill="auto"/>
          </w:tcPr>
          <w:p w:rsidR="00A3381A" w:rsidRDefault="00A3381A" w:rsidP="00F51502">
            <w:pPr>
              <w:pStyle w:val="Tabletext"/>
              <w:tabs>
                <w:tab w:val="decimal" w:pos="1021"/>
              </w:tabs>
              <w:rPr>
                <w:rFonts w:eastAsia="Calibri"/>
              </w:rPr>
            </w:pPr>
            <w:r>
              <w:rPr>
                <w:rFonts w:eastAsia="Calibri"/>
              </w:rPr>
              <w:t>2.1</w:t>
            </w:r>
          </w:p>
        </w:tc>
      </w:tr>
    </w:tbl>
    <w:p w:rsidR="00437034" w:rsidRDefault="00437034" w:rsidP="00F51502">
      <w:pPr>
        <w:pStyle w:val="Source"/>
        <w:rPr>
          <w:rFonts w:eastAsia="Calibri"/>
        </w:rPr>
      </w:pPr>
      <w:r>
        <w:rPr>
          <w:rFonts w:eastAsia="Calibri"/>
        </w:rPr>
        <w:t>Note:</w:t>
      </w:r>
      <w:r w:rsidR="00F51502">
        <w:rPr>
          <w:rFonts w:eastAsia="Calibri"/>
        </w:rPr>
        <w:tab/>
      </w:r>
      <w:r>
        <w:rPr>
          <w:rFonts w:eastAsia="Calibri"/>
        </w:rPr>
        <w:t>This table only includes those students who were present in both the 1999 and 2009 survey</w:t>
      </w:r>
      <w:r w:rsidR="00F51502">
        <w:rPr>
          <w:rFonts w:eastAsia="Calibri"/>
        </w:rPr>
        <w:t>s</w:t>
      </w:r>
      <w:r>
        <w:rPr>
          <w:rFonts w:eastAsia="Calibri"/>
        </w:rPr>
        <w:t>.</w:t>
      </w:r>
      <w:r w:rsidR="00582D3A">
        <w:rPr>
          <w:rFonts w:eastAsia="Calibri"/>
        </w:rPr>
        <w:t xml:space="preserve"> </w:t>
      </w:r>
      <w:r w:rsidR="00EE5442" w:rsidRPr="00E5745D">
        <w:rPr>
          <w:rFonts w:eastAsia="Calibri"/>
        </w:rPr>
        <w:t xml:space="preserve">Total sample size = </w:t>
      </w:r>
      <w:r w:rsidR="00EE5442">
        <w:rPr>
          <w:rFonts w:eastAsia="Calibri"/>
        </w:rPr>
        <w:t>1062.</w:t>
      </w:r>
      <w:r w:rsidR="00EE5442" w:rsidRPr="00F7672B">
        <w:rPr>
          <w:rFonts w:eastAsia="Calibri"/>
        </w:rPr>
        <w:t xml:space="preserve"> </w:t>
      </w:r>
      <w:r w:rsidR="00582D3A">
        <w:rPr>
          <w:rFonts w:eastAsia="Calibri"/>
        </w:rPr>
        <w:t>ASCO = Australian Standard Classification of Occupations.</w:t>
      </w:r>
    </w:p>
    <w:p w:rsidR="00F7672B" w:rsidRPr="00E5745D" w:rsidRDefault="00F51502" w:rsidP="00F51502">
      <w:pPr>
        <w:pStyle w:val="Source"/>
        <w:rPr>
          <w:rFonts w:eastAsia="Calibri"/>
        </w:rPr>
      </w:pPr>
      <w:r>
        <w:rPr>
          <w:rFonts w:eastAsia="Calibri"/>
        </w:rPr>
        <w:t>Source:</w:t>
      </w:r>
      <w:r>
        <w:rPr>
          <w:rFonts w:eastAsia="Calibri"/>
        </w:rPr>
        <w:tab/>
      </w:r>
      <w:r w:rsidR="00DA6B5B">
        <w:rPr>
          <w:rFonts w:eastAsia="Calibri"/>
        </w:rPr>
        <w:t>LSAY 19</w:t>
      </w:r>
      <w:r w:rsidR="003E1D51" w:rsidRPr="00E5745D">
        <w:rPr>
          <w:rFonts w:eastAsia="Calibri"/>
        </w:rPr>
        <w:t xml:space="preserve">98 cohort, 1999 survey, weighted estimates. </w:t>
      </w:r>
    </w:p>
    <w:p w:rsidR="003E1D51" w:rsidRDefault="003E1D51" w:rsidP="003E1D51">
      <w:pPr>
        <w:pStyle w:val="tabletitle"/>
        <w:rPr>
          <w:rFonts w:eastAsia="Calibri"/>
        </w:rPr>
      </w:pPr>
      <w:bookmarkStart w:id="78" w:name="_Toc377396986"/>
      <w:r w:rsidRPr="00F70A69">
        <w:rPr>
          <w:rFonts w:eastAsia="Calibri"/>
        </w:rPr>
        <w:t xml:space="preserve">Table </w:t>
      </w:r>
      <w:r w:rsidR="00EB20BB">
        <w:rPr>
          <w:rFonts w:eastAsia="Calibri"/>
        </w:rPr>
        <w:t>9</w:t>
      </w:r>
      <w:r>
        <w:rPr>
          <w:rFonts w:eastAsia="Calibri"/>
        </w:rPr>
        <w:tab/>
        <w:t>M</w:t>
      </w:r>
      <w:r w:rsidRPr="00F70A69">
        <w:rPr>
          <w:rFonts w:eastAsia="Calibri"/>
        </w:rPr>
        <w:t>ost popular job</w:t>
      </w:r>
      <w:r w:rsidR="00DA6B5B">
        <w:rPr>
          <w:rFonts w:eastAsia="Calibri"/>
        </w:rPr>
        <w:t xml:space="preserve"> aspirations, LSAY 19</w:t>
      </w:r>
      <w:r>
        <w:rPr>
          <w:rFonts w:eastAsia="Calibri"/>
        </w:rPr>
        <w:t>98 cohort, age 15</w:t>
      </w:r>
      <w:r w:rsidR="00DF6F4A">
        <w:rPr>
          <w:rFonts w:eastAsia="Calibri"/>
        </w:rPr>
        <w:t xml:space="preserve"> years</w:t>
      </w:r>
      <w:r>
        <w:rPr>
          <w:rFonts w:eastAsia="Calibri"/>
        </w:rPr>
        <w:t>, females</w:t>
      </w:r>
      <w:bookmarkEnd w:id="78"/>
    </w:p>
    <w:tbl>
      <w:tblPr>
        <w:tblW w:w="8789" w:type="dxa"/>
        <w:tblInd w:w="113" w:type="dxa"/>
        <w:tblLayout w:type="fixed"/>
        <w:tblCellMar>
          <w:left w:w="113" w:type="dxa"/>
          <w:right w:w="113" w:type="dxa"/>
        </w:tblCellMar>
        <w:tblLook w:val="0000" w:firstRow="0" w:lastRow="0" w:firstColumn="0" w:lastColumn="0" w:noHBand="0" w:noVBand="0"/>
      </w:tblPr>
      <w:tblGrid>
        <w:gridCol w:w="4691"/>
        <w:gridCol w:w="1830"/>
        <w:gridCol w:w="2268"/>
      </w:tblGrid>
      <w:tr w:rsidR="003E1D51" w:rsidRPr="00E5745D" w:rsidTr="00F51502">
        <w:tc>
          <w:tcPr>
            <w:tcW w:w="4691" w:type="dxa"/>
            <w:tcBorders>
              <w:top w:val="single" w:sz="4" w:space="0" w:color="auto"/>
              <w:bottom w:val="single" w:sz="4" w:space="0" w:color="auto"/>
            </w:tcBorders>
            <w:shd w:val="clear" w:color="auto" w:fill="auto"/>
          </w:tcPr>
          <w:p w:rsidR="003E1D51" w:rsidRPr="00E5745D" w:rsidRDefault="003E1D51" w:rsidP="00F51502">
            <w:pPr>
              <w:pStyle w:val="Tablehead1"/>
              <w:rPr>
                <w:rFonts w:eastAsia="Calibri"/>
              </w:rPr>
            </w:pPr>
            <w:r w:rsidRPr="00E5745D">
              <w:rPr>
                <w:rFonts w:eastAsia="Calibri"/>
              </w:rPr>
              <w:t>Occupation</w:t>
            </w:r>
            <w:r>
              <w:rPr>
                <w:rFonts w:eastAsia="Calibri"/>
              </w:rPr>
              <w:t xml:space="preserve"> (ASCO 4-digit)</w:t>
            </w:r>
          </w:p>
        </w:tc>
        <w:tc>
          <w:tcPr>
            <w:tcW w:w="1830" w:type="dxa"/>
            <w:tcBorders>
              <w:top w:val="single" w:sz="4" w:space="0" w:color="auto"/>
              <w:bottom w:val="single" w:sz="4" w:space="0" w:color="auto"/>
            </w:tcBorders>
          </w:tcPr>
          <w:p w:rsidR="003E1D51" w:rsidRPr="00E5745D" w:rsidRDefault="00C7109F" w:rsidP="00F51502">
            <w:pPr>
              <w:pStyle w:val="Tablehead1"/>
              <w:jc w:val="center"/>
              <w:rPr>
                <w:rFonts w:eastAsia="Calibri"/>
              </w:rPr>
            </w:pPr>
            <w:r>
              <w:rPr>
                <w:rFonts w:eastAsia="Calibri"/>
              </w:rPr>
              <w:t>n</w:t>
            </w:r>
          </w:p>
        </w:tc>
        <w:tc>
          <w:tcPr>
            <w:tcW w:w="2268" w:type="dxa"/>
            <w:tcBorders>
              <w:top w:val="single" w:sz="4" w:space="0" w:color="auto"/>
              <w:bottom w:val="single" w:sz="4" w:space="0" w:color="auto"/>
            </w:tcBorders>
            <w:shd w:val="clear" w:color="auto" w:fill="auto"/>
            <w:tcMar>
              <w:left w:w="0" w:type="dxa"/>
              <w:right w:w="0" w:type="dxa"/>
            </w:tcMar>
          </w:tcPr>
          <w:p w:rsidR="003E1D51" w:rsidRPr="00E5745D" w:rsidRDefault="003E1D51" w:rsidP="00F51502">
            <w:pPr>
              <w:pStyle w:val="Tablehead1"/>
              <w:jc w:val="center"/>
              <w:rPr>
                <w:rFonts w:eastAsia="Calibri"/>
              </w:rPr>
            </w:pPr>
            <w:r w:rsidRPr="00E5745D">
              <w:rPr>
                <w:rFonts w:eastAsia="Calibri"/>
              </w:rPr>
              <w:t xml:space="preserve">% of sample who aspired </w:t>
            </w:r>
            <w:r w:rsidR="00F51502">
              <w:rPr>
                <w:rFonts w:eastAsia="Calibri"/>
              </w:rPr>
              <w:br/>
            </w:r>
            <w:r w:rsidRPr="00E5745D">
              <w:rPr>
                <w:rFonts w:eastAsia="Calibri"/>
              </w:rPr>
              <w:t>to this occupation</w:t>
            </w:r>
          </w:p>
        </w:tc>
      </w:tr>
      <w:tr w:rsidR="003E1D51" w:rsidRPr="00E5745D" w:rsidTr="00F51502">
        <w:tc>
          <w:tcPr>
            <w:tcW w:w="4691" w:type="dxa"/>
            <w:tcBorders>
              <w:top w:val="single" w:sz="4" w:space="0" w:color="auto"/>
            </w:tcBorders>
            <w:shd w:val="clear" w:color="auto" w:fill="auto"/>
          </w:tcPr>
          <w:p w:rsidR="003E1D51" w:rsidRPr="00537B90" w:rsidRDefault="003E1D51" w:rsidP="00F51502">
            <w:pPr>
              <w:pStyle w:val="Tabletext"/>
              <w:rPr>
                <w:rFonts w:eastAsia="Calibri"/>
              </w:rPr>
            </w:pPr>
            <w:r w:rsidRPr="00537B90">
              <w:rPr>
                <w:rFonts w:eastAsia="Calibri"/>
              </w:rPr>
              <w:t xml:space="preserve">Designers and </w:t>
            </w:r>
            <w:r w:rsidR="00582D3A" w:rsidRPr="00537B90">
              <w:rPr>
                <w:rFonts w:eastAsia="Calibri"/>
              </w:rPr>
              <w:t>illustrators</w:t>
            </w:r>
          </w:p>
        </w:tc>
        <w:tc>
          <w:tcPr>
            <w:tcW w:w="1830" w:type="dxa"/>
            <w:tcBorders>
              <w:top w:val="single" w:sz="4" w:space="0" w:color="auto"/>
            </w:tcBorders>
          </w:tcPr>
          <w:p w:rsidR="003E1D51" w:rsidRPr="00E5745D" w:rsidRDefault="003E1D51" w:rsidP="00F51502">
            <w:pPr>
              <w:pStyle w:val="Tabletext"/>
              <w:tabs>
                <w:tab w:val="decimal" w:pos="879"/>
              </w:tabs>
              <w:rPr>
                <w:rFonts w:eastAsia="Calibri"/>
              </w:rPr>
            </w:pPr>
            <w:r>
              <w:rPr>
                <w:rFonts w:eastAsia="Calibri"/>
              </w:rPr>
              <w:t>55</w:t>
            </w:r>
          </w:p>
        </w:tc>
        <w:tc>
          <w:tcPr>
            <w:tcW w:w="2268" w:type="dxa"/>
            <w:tcBorders>
              <w:top w:val="single" w:sz="4" w:space="0" w:color="auto"/>
            </w:tcBorders>
            <w:shd w:val="clear" w:color="auto" w:fill="auto"/>
          </w:tcPr>
          <w:p w:rsidR="003E1D51" w:rsidRPr="00E5745D" w:rsidRDefault="003E1D51" w:rsidP="00F51502">
            <w:pPr>
              <w:pStyle w:val="Tabletext"/>
              <w:tabs>
                <w:tab w:val="decimal" w:pos="1021"/>
              </w:tabs>
              <w:rPr>
                <w:rFonts w:eastAsia="Calibri"/>
              </w:rPr>
            </w:pPr>
            <w:r>
              <w:rPr>
                <w:rFonts w:eastAsia="Calibri"/>
              </w:rPr>
              <w:t>5.0</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Psychologists</w:t>
            </w:r>
          </w:p>
        </w:tc>
        <w:tc>
          <w:tcPr>
            <w:tcW w:w="1830" w:type="dxa"/>
          </w:tcPr>
          <w:p w:rsidR="003E1D51" w:rsidRPr="00E5745D" w:rsidRDefault="003E1D51" w:rsidP="00F51502">
            <w:pPr>
              <w:pStyle w:val="Tabletext"/>
              <w:tabs>
                <w:tab w:val="decimal" w:pos="879"/>
              </w:tabs>
              <w:rPr>
                <w:rFonts w:eastAsia="Calibri"/>
              </w:rPr>
            </w:pPr>
            <w:r>
              <w:rPr>
                <w:rFonts w:eastAsia="Calibri"/>
              </w:rPr>
              <w:t>52</w:t>
            </w:r>
          </w:p>
        </w:tc>
        <w:tc>
          <w:tcPr>
            <w:tcW w:w="2268" w:type="dxa"/>
            <w:shd w:val="clear" w:color="auto" w:fill="auto"/>
          </w:tcPr>
          <w:p w:rsidR="003E1D51" w:rsidRPr="00E5745D" w:rsidRDefault="003E1D51" w:rsidP="00F51502">
            <w:pPr>
              <w:pStyle w:val="Tabletext"/>
              <w:tabs>
                <w:tab w:val="decimal" w:pos="1021"/>
              </w:tabs>
              <w:rPr>
                <w:rFonts w:eastAsia="Calibri"/>
              </w:rPr>
            </w:pPr>
            <w:r>
              <w:rPr>
                <w:rFonts w:eastAsia="Calibri"/>
              </w:rPr>
              <w:t>4.7</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Legal</w:t>
            </w:r>
            <w:r w:rsidR="00582D3A" w:rsidRPr="00537B90">
              <w:rPr>
                <w:rFonts w:eastAsia="Calibri"/>
              </w:rPr>
              <w:t xml:space="preserve"> professionals</w:t>
            </w:r>
          </w:p>
        </w:tc>
        <w:tc>
          <w:tcPr>
            <w:tcW w:w="1830" w:type="dxa"/>
          </w:tcPr>
          <w:p w:rsidR="003E1D51" w:rsidRPr="00E5745D" w:rsidRDefault="003E1D51" w:rsidP="00F51502">
            <w:pPr>
              <w:pStyle w:val="Tabletext"/>
              <w:tabs>
                <w:tab w:val="decimal" w:pos="879"/>
              </w:tabs>
              <w:rPr>
                <w:rFonts w:eastAsia="Calibri"/>
              </w:rPr>
            </w:pPr>
            <w:r>
              <w:rPr>
                <w:rFonts w:eastAsia="Calibri"/>
              </w:rPr>
              <w:t>47</w:t>
            </w:r>
          </w:p>
        </w:tc>
        <w:tc>
          <w:tcPr>
            <w:tcW w:w="2268" w:type="dxa"/>
            <w:shd w:val="clear" w:color="auto" w:fill="auto"/>
          </w:tcPr>
          <w:p w:rsidR="003E1D51" w:rsidRPr="00E5745D" w:rsidRDefault="003E1D51" w:rsidP="00F51502">
            <w:pPr>
              <w:pStyle w:val="Tabletext"/>
              <w:tabs>
                <w:tab w:val="decimal" w:pos="1021"/>
              </w:tabs>
              <w:rPr>
                <w:rFonts w:eastAsia="Calibri"/>
              </w:rPr>
            </w:pPr>
            <w:r>
              <w:rPr>
                <w:rFonts w:eastAsia="Calibri"/>
              </w:rPr>
              <w:t>4.3</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 xml:space="preserve">Registered </w:t>
            </w:r>
            <w:r w:rsidR="00582D3A" w:rsidRPr="00537B90">
              <w:rPr>
                <w:rFonts w:eastAsia="Calibri"/>
              </w:rPr>
              <w:t>nurses</w:t>
            </w:r>
          </w:p>
        </w:tc>
        <w:tc>
          <w:tcPr>
            <w:tcW w:w="1830" w:type="dxa"/>
          </w:tcPr>
          <w:p w:rsidR="003E1D51" w:rsidRPr="00E5745D" w:rsidRDefault="003E1D51" w:rsidP="00F51502">
            <w:pPr>
              <w:pStyle w:val="Tabletext"/>
              <w:tabs>
                <w:tab w:val="decimal" w:pos="879"/>
              </w:tabs>
              <w:rPr>
                <w:rFonts w:eastAsia="Calibri"/>
              </w:rPr>
            </w:pPr>
            <w:r>
              <w:rPr>
                <w:rFonts w:eastAsia="Calibri"/>
              </w:rPr>
              <w:t>44</w:t>
            </w:r>
          </w:p>
        </w:tc>
        <w:tc>
          <w:tcPr>
            <w:tcW w:w="2268" w:type="dxa"/>
            <w:shd w:val="clear" w:color="auto" w:fill="auto"/>
          </w:tcPr>
          <w:p w:rsidR="003E1D51" w:rsidRPr="00E5745D" w:rsidRDefault="003E1D51" w:rsidP="00F51502">
            <w:pPr>
              <w:pStyle w:val="Tabletext"/>
              <w:tabs>
                <w:tab w:val="decimal" w:pos="1021"/>
              </w:tabs>
              <w:rPr>
                <w:rFonts w:eastAsia="Calibri"/>
              </w:rPr>
            </w:pPr>
            <w:r>
              <w:rPr>
                <w:rFonts w:eastAsia="Calibri"/>
              </w:rPr>
              <w:t>4.0</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 xml:space="preserve">Primary </w:t>
            </w:r>
            <w:r w:rsidR="00582D3A" w:rsidRPr="00537B90">
              <w:rPr>
                <w:rFonts w:eastAsia="Calibri"/>
              </w:rPr>
              <w:t>school teachers</w:t>
            </w:r>
          </w:p>
        </w:tc>
        <w:tc>
          <w:tcPr>
            <w:tcW w:w="1830" w:type="dxa"/>
          </w:tcPr>
          <w:p w:rsidR="003E1D51" w:rsidRPr="00E5745D" w:rsidRDefault="003E1D51" w:rsidP="00F51502">
            <w:pPr>
              <w:pStyle w:val="Tabletext"/>
              <w:tabs>
                <w:tab w:val="decimal" w:pos="879"/>
              </w:tabs>
              <w:rPr>
                <w:rFonts w:eastAsia="Calibri"/>
              </w:rPr>
            </w:pPr>
            <w:r>
              <w:rPr>
                <w:rFonts w:eastAsia="Calibri"/>
              </w:rPr>
              <w:t>42</w:t>
            </w:r>
          </w:p>
        </w:tc>
        <w:tc>
          <w:tcPr>
            <w:tcW w:w="2268" w:type="dxa"/>
            <w:shd w:val="clear" w:color="auto" w:fill="auto"/>
          </w:tcPr>
          <w:p w:rsidR="003E1D51" w:rsidRPr="00E5745D" w:rsidRDefault="003E1D51" w:rsidP="00F51502">
            <w:pPr>
              <w:pStyle w:val="Tabletext"/>
              <w:tabs>
                <w:tab w:val="decimal" w:pos="1021"/>
              </w:tabs>
              <w:rPr>
                <w:rFonts w:eastAsia="Calibri"/>
              </w:rPr>
            </w:pPr>
            <w:r>
              <w:rPr>
                <w:rFonts w:eastAsia="Calibri"/>
              </w:rPr>
              <w:t>3.8</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 xml:space="preserve">Children's </w:t>
            </w:r>
            <w:r w:rsidR="00582D3A" w:rsidRPr="00537B90">
              <w:rPr>
                <w:rFonts w:eastAsia="Calibri"/>
              </w:rPr>
              <w:t>care workers</w:t>
            </w:r>
          </w:p>
        </w:tc>
        <w:tc>
          <w:tcPr>
            <w:tcW w:w="1830" w:type="dxa"/>
          </w:tcPr>
          <w:p w:rsidR="003E1D51" w:rsidRPr="00E5745D" w:rsidRDefault="003E1D51" w:rsidP="00F51502">
            <w:pPr>
              <w:pStyle w:val="Tabletext"/>
              <w:tabs>
                <w:tab w:val="decimal" w:pos="879"/>
              </w:tabs>
              <w:rPr>
                <w:rFonts w:eastAsia="Calibri"/>
              </w:rPr>
            </w:pPr>
            <w:r>
              <w:rPr>
                <w:rFonts w:eastAsia="Calibri"/>
              </w:rPr>
              <w:t>40</w:t>
            </w:r>
          </w:p>
        </w:tc>
        <w:tc>
          <w:tcPr>
            <w:tcW w:w="2268" w:type="dxa"/>
            <w:shd w:val="clear" w:color="auto" w:fill="auto"/>
          </w:tcPr>
          <w:p w:rsidR="003E1D51" w:rsidRPr="00E5745D" w:rsidRDefault="003E1D51" w:rsidP="00F51502">
            <w:pPr>
              <w:pStyle w:val="Tabletext"/>
              <w:tabs>
                <w:tab w:val="decimal" w:pos="1021"/>
              </w:tabs>
              <w:rPr>
                <w:rFonts w:eastAsia="Calibri"/>
              </w:rPr>
            </w:pPr>
            <w:r>
              <w:rPr>
                <w:rFonts w:eastAsia="Calibri"/>
              </w:rPr>
              <w:t>3.6</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Pre-</w:t>
            </w:r>
            <w:r w:rsidR="00582D3A" w:rsidRPr="00537B90">
              <w:rPr>
                <w:rFonts w:eastAsia="Calibri"/>
              </w:rPr>
              <w:t>primary school teachers</w:t>
            </w:r>
          </w:p>
        </w:tc>
        <w:tc>
          <w:tcPr>
            <w:tcW w:w="1830" w:type="dxa"/>
          </w:tcPr>
          <w:p w:rsidR="003E1D51" w:rsidRPr="00E5745D" w:rsidRDefault="003E1D51" w:rsidP="00F51502">
            <w:pPr>
              <w:pStyle w:val="Tabletext"/>
              <w:tabs>
                <w:tab w:val="decimal" w:pos="879"/>
              </w:tabs>
              <w:rPr>
                <w:rFonts w:eastAsia="Calibri"/>
              </w:rPr>
            </w:pPr>
            <w:r>
              <w:rPr>
                <w:rFonts w:eastAsia="Calibri"/>
              </w:rPr>
              <w:t>35</w:t>
            </w:r>
          </w:p>
        </w:tc>
        <w:tc>
          <w:tcPr>
            <w:tcW w:w="2268" w:type="dxa"/>
            <w:shd w:val="clear" w:color="auto" w:fill="auto"/>
          </w:tcPr>
          <w:p w:rsidR="003E1D51" w:rsidRPr="00E5745D" w:rsidRDefault="003E1D51" w:rsidP="00F51502">
            <w:pPr>
              <w:pStyle w:val="Tabletext"/>
              <w:tabs>
                <w:tab w:val="decimal" w:pos="1021"/>
              </w:tabs>
              <w:rPr>
                <w:rFonts w:eastAsia="Calibri"/>
              </w:rPr>
            </w:pPr>
            <w:r>
              <w:rPr>
                <w:rFonts w:eastAsia="Calibri"/>
              </w:rPr>
              <w:t>3.1</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 xml:space="preserve">School </w:t>
            </w:r>
            <w:r w:rsidR="00582D3A" w:rsidRPr="00537B90">
              <w:rPr>
                <w:rFonts w:eastAsia="Calibri"/>
              </w:rPr>
              <w:t xml:space="preserve">teachers </w:t>
            </w:r>
            <w:r>
              <w:rPr>
                <w:rFonts w:eastAsia="Calibri"/>
              </w:rPr>
              <w:t>–</w:t>
            </w:r>
            <w:r w:rsidRPr="00537B90">
              <w:rPr>
                <w:rFonts w:eastAsia="Calibri"/>
              </w:rPr>
              <w:t xml:space="preserve"> </w:t>
            </w:r>
            <w:r>
              <w:rPr>
                <w:rFonts w:eastAsia="Calibri"/>
              </w:rPr>
              <w:t>not further defined</w:t>
            </w:r>
          </w:p>
        </w:tc>
        <w:tc>
          <w:tcPr>
            <w:tcW w:w="1830" w:type="dxa"/>
          </w:tcPr>
          <w:p w:rsidR="003E1D51" w:rsidRPr="00E5745D" w:rsidRDefault="003E1D51" w:rsidP="00F51502">
            <w:pPr>
              <w:pStyle w:val="Tabletext"/>
              <w:tabs>
                <w:tab w:val="decimal" w:pos="879"/>
              </w:tabs>
              <w:rPr>
                <w:rFonts w:eastAsia="Calibri"/>
              </w:rPr>
            </w:pPr>
            <w:r>
              <w:rPr>
                <w:rFonts w:eastAsia="Calibri"/>
              </w:rPr>
              <w:t>34</w:t>
            </w:r>
          </w:p>
        </w:tc>
        <w:tc>
          <w:tcPr>
            <w:tcW w:w="2268" w:type="dxa"/>
            <w:shd w:val="clear" w:color="auto" w:fill="auto"/>
          </w:tcPr>
          <w:p w:rsidR="003E1D51" w:rsidRPr="00E5745D" w:rsidRDefault="003E1D51" w:rsidP="00F51502">
            <w:pPr>
              <w:pStyle w:val="Tabletext"/>
              <w:tabs>
                <w:tab w:val="decimal" w:pos="1021"/>
              </w:tabs>
              <w:rPr>
                <w:rFonts w:eastAsia="Calibri"/>
              </w:rPr>
            </w:pPr>
            <w:r>
              <w:rPr>
                <w:rFonts w:eastAsia="Calibri"/>
              </w:rPr>
              <w:t>3.1</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 xml:space="preserve">Secondary </w:t>
            </w:r>
            <w:r w:rsidR="00582D3A" w:rsidRPr="00537B90">
              <w:rPr>
                <w:rFonts w:eastAsia="Calibri"/>
              </w:rPr>
              <w:t>school teachers</w:t>
            </w:r>
          </w:p>
        </w:tc>
        <w:tc>
          <w:tcPr>
            <w:tcW w:w="1830" w:type="dxa"/>
          </w:tcPr>
          <w:p w:rsidR="003E1D51" w:rsidRPr="00E5745D" w:rsidRDefault="003E1D51" w:rsidP="00F51502">
            <w:pPr>
              <w:pStyle w:val="Tabletext"/>
              <w:tabs>
                <w:tab w:val="decimal" w:pos="879"/>
              </w:tabs>
              <w:rPr>
                <w:rFonts w:eastAsia="Calibri"/>
              </w:rPr>
            </w:pPr>
            <w:r>
              <w:rPr>
                <w:rFonts w:eastAsia="Calibri"/>
              </w:rPr>
              <w:t>31</w:t>
            </w:r>
          </w:p>
        </w:tc>
        <w:tc>
          <w:tcPr>
            <w:tcW w:w="2268" w:type="dxa"/>
            <w:shd w:val="clear" w:color="auto" w:fill="auto"/>
          </w:tcPr>
          <w:p w:rsidR="003E1D51" w:rsidRPr="00E5745D" w:rsidRDefault="003E1D51" w:rsidP="00F51502">
            <w:pPr>
              <w:pStyle w:val="Tabletext"/>
              <w:tabs>
                <w:tab w:val="decimal" w:pos="1021"/>
              </w:tabs>
              <w:rPr>
                <w:rFonts w:eastAsia="Calibri"/>
              </w:rPr>
            </w:pPr>
            <w:r>
              <w:rPr>
                <w:rFonts w:eastAsia="Calibri"/>
              </w:rPr>
              <w:t>2.8</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 xml:space="preserve">Journalists </w:t>
            </w:r>
            <w:r w:rsidR="00582D3A" w:rsidRPr="00537B90">
              <w:rPr>
                <w:rFonts w:eastAsia="Calibri"/>
              </w:rPr>
              <w:t>and related professionals</w:t>
            </w:r>
          </w:p>
        </w:tc>
        <w:tc>
          <w:tcPr>
            <w:tcW w:w="1830" w:type="dxa"/>
          </w:tcPr>
          <w:p w:rsidR="003E1D51" w:rsidRDefault="003E1D51" w:rsidP="00F51502">
            <w:pPr>
              <w:pStyle w:val="Tabletext"/>
              <w:tabs>
                <w:tab w:val="decimal" w:pos="879"/>
              </w:tabs>
              <w:rPr>
                <w:rFonts w:eastAsia="Calibri"/>
              </w:rPr>
            </w:pPr>
            <w:r>
              <w:rPr>
                <w:rFonts w:eastAsia="Calibri"/>
              </w:rPr>
              <w:t>30</w:t>
            </w:r>
          </w:p>
        </w:tc>
        <w:tc>
          <w:tcPr>
            <w:tcW w:w="2268" w:type="dxa"/>
            <w:shd w:val="clear" w:color="auto" w:fill="auto"/>
          </w:tcPr>
          <w:p w:rsidR="003E1D51" w:rsidRPr="00E5745D" w:rsidRDefault="003E1D51" w:rsidP="00F51502">
            <w:pPr>
              <w:pStyle w:val="Tabletext"/>
              <w:tabs>
                <w:tab w:val="decimal" w:pos="1021"/>
              </w:tabs>
              <w:rPr>
                <w:rFonts w:eastAsia="Calibri"/>
              </w:rPr>
            </w:pPr>
            <w:r>
              <w:rPr>
                <w:rFonts w:eastAsia="Calibri"/>
              </w:rPr>
              <w:t>2.7</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 xml:space="preserve">Actors, </w:t>
            </w:r>
            <w:r w:rsidR="00582D3A" w:rsidRPr="00537B90">
              <w:rPr>
                <w:rFonts w:eastAsia="Calibri"/>
              </w:rPr>
              <w:t>dancers and related professionals</w:t>
            </w:r>
          </w:p>
        </w:tc>
        <w:tc>
          <w:tcPr>
            <w:tcW w:w="1830" w:type="dxa"/>
          </w:tcPr>
          <w:p w:rsidR="003E1D51" w:rsidRDefault="003E1D51" w:rsidP="00F51502">
            <w:pPr>
              <w:pStyle w:val="Tabletext"/>
              <w:tabs>
                <w:tab w:val="decimal" w:pos="879"/>
              </w:tabs>
              <w:rPr>
                <w:rFonts w:eastAsia="Calibri"/>
              </w:rPr>
            </w:pPr>
            <w:r>
              <w:rPr>
                <w:rFonts w:eastAsia="Calibri"/>
              </w:rPr>
              <w:t>30</w:t>
            </w:r>
          </w:p>
        </w:tc>
        <w:tc>
          <w:tcPr>
            <w:tcW w:w="2268" w:type="dxa"/>
            <w:shd w:val="clear" w:color="auto" w:fill="auto"/>
          </w:tcPr>
          <w:p w:rsidR="003E1D51" w:rsidRDefault="003E1D51" w:rsidP="00F51502">
            <w:pPr>
              <w:pStyle w:val="Tabletext"/>
              <w:tabs>
                <w:tab w:val="decimal" w:pos="1021"/>
              </w:tabs>
              <w:rPr>
                <w:rFonts w:eastAsia="Calibri"/>
              </w:rPr>
            </w:pPr>
            <w:r>
              <w:rPr>
                <w:rFonts w:eastAsia="Calibri"/>
              </w:rPr>
              <w:t>2.7</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Veterinarians</w:t>
            </w:r>
          </w:p>
        </w:tc>
        <w:tc>
          <w:tcPr>
            <w:tcW w:w="1830" w:type="dxa"/>
          </w:tcPr>
          <w:p w:rsidR="003E1D51" w:rsidRDefault="003E1D51" w:rsidP="00F51502">
            <w:pPr>
              <w:pStyle w:val="Tabletext"/>
              <w:tabs>
                <w:tab w:val="decimal" w:pos="879"/>
              </w:tabs>
              <w:rPr>
                <w:rFonts w:eastAsia="Calibri"/>
              </w:rPr>
            </w:pPr>
            <w:r>
              <w:rPr>
                <w:rFonts w:eastAsia="Calibri"/>
              </w:rPr>
              <w:t>29</w:t>
            </w:r>
          </w:p>
        </w:tc>
        <w:tc>
          <w:tcPr>
            <w:tcW w:w="2268" w:type="dxa"/>
            <w:shd w:val="clear" w:color="auto" w:fill="auto"/>
          </w:tcPr>
          <w:p w:rsidR="003E1D51" w:rsidRDefault="003E1D51" w:rsidP="00F51502">
            <w:pPr>
              <w:pStyle w:val="Tabletext"/>
              <w:tabs>
                <w:tab w:val="decimal" w:pos="1021"/>
              </w:tabs>
              <w:rPr>
                <w:rFonts w:eastAsia="Calibri"/>
              </w:rPr>
            </w:pPr>
            <w:r>
              <w:rPr>
                <w:rFonts w:eastAsia="Calibri"/>
              </w:rPr>
              <w:t>2.6</w:t>
            </w:r>
          </w:p>
        </w:tc>
      </w:tr>
      <w:tr w:rsidR="003E1D51" w:rsidRPr="00E5745D" w:rsidTr="00F51502">
        <w:tc>
          <w:tcPr>
            <w:tcW w:w="4691" w:type="dxa"/>
            <w:shd w:val="clear" w:color="auto" w:fill="auto"/>
          </w:tcPr>
          <w:p w:rsidR="003E1D51" w:rsidRPr="00537B90" w:rsidRDefault="003E1D51" w:rsidP="00F51502">
            <w:pPr>
              <w:pStyle w:val="Tabletext"/>
              <w:rPr>
                <w:rFonts w:eastAsia="Calibri"/>
              </w:rPr>
            </w:pPr>
            <w:r w:rsidRPr="00537B90">
              <w:rPr>
                <w:rFonts w:eastAsia="Calibri"/>
              </w:rPr>
              <w:t>Accountants</w:t>
            </w:r>
          </w:p>
        </w:tc>
        <w:tc>
          <w:tcPr>
            <w:tcW w:w="1830" w:type="dxa"/>
          </w:tcPr>
          <w:p w:rsidR="003E1D51" w:rsidRPr="00E5745D" w:rsidRDefault="003E1D51" w:rsidP="00F51502">
            <w:pPr>
              <w:pStyle w:val="Tabletext"/>
              <w:tabs>
                <w:tab w:val="decimal" w:pos="879"/>
              </w:tabs>
              <w:rPr>
                <w:rFonts w:eastAsia="Calibri"/>
              </w:rPr>
            </w:pPr>
            <w:r>
              <w:rPr>
                <w:rFonts w:eastAsia="Calibri"/>
              </w:rPr>
              <w:t>27</w:t>
            </w:r>
          </w:p>
        </w:tc>
        <w:tc>
          <w:tcPr>
            <w:tcW w:w="2268" w:type="dxa"/>
            <w:shd w:val="clear" w:color="auto" w:fill="auto"/>
          </w:tcPr>
          <w:p w:rsidR="003E1D51" w:rsidRPr="00E5745D" w:rsidRDefault="003E1D51" w:rsidP="00F51502">
            <w:pPr>
              <w:pStyle w:val="Tabletext"/>
              <w:tabs>
                <w:tab w:val="decimal" w:pos="1021"/>
              </w:tabs>
              <w:rPr>
                <w:rFonts w:eastAsia="Calibri"/>
              </w:rPr>
            </w:pPr>
            <w:r>
              <w:rPr>
                <w:rFonts w:eastAsia="Calibri"/>
              </w:rPr>
              <w:t>2.5</w:t>
            </w:r>
          </w:p>
        </w:tc>
      </w:tr>
      <w:tr w:rsidR="003E1D51" w:rsidRPr="00E5745D" w:rsidTr="00F51502">
        <w:tc>
          <w:tcPr>
            <w:tcW w:w="4691" w:type="dxa"/>
            <w:tcBorders>
              <w:bottom w:val="single" w:sz="4" w:space="0" w:color="auto"/>
            </w:tcBorders>
            <w:shd w:val="clear" w:color="auto" w:fill="auto"/>
          </w:tcPr>
          <w:p w:rsidR="003E1D51" w:rsidRPr="00537B90" w:rsidRDefault="003E1D51" w:rsidP="00F51502">
            <w:pPr>
              <w:pStyle w:val="Tabletext"/>
              <w:rPr>
                <w:rFonts w:eastAsia="Calibri"/>
              </w:rPr>
            </w:pPr>
            <w:r w:rsidRPr="00537B90">
              <w:rPr>
                <w:rFonts w:eastAsia="Calibri"/>
              </w:rPr>
              <w:t xml:space="preserve">Generalist </w:t>
            </w:r>
            <w:r w:rsidR="00582D3A" w:rsidRPr="00537B90">
              <w:rPr>
                <w:rFonts w:eastAsia="Calibri"/>
              </w:rPr>
              <w:t>medical practitioners</w:t>
            </w:r>
          </w:p>
        </w:tc>
        <w:tc>
          <w:tcPr>
            <w:tcW w:w="1830" w:type="dxa"/>
            <w:tcBorders>
              <w:bottom w:val="single" w:sz="4" w:space="0" w:color="auto"/>
            </w:tcBorders>
          </w:tcPr>
          <w:p w:rsidR="003E1D51" w:rsidRDefault="003E1D51" w:rsidP="00F51502">
            <w:pPr>
              <w:pStyle w:val="Tabletext"/>
              <w:tabs>
                <w:tab w:val="decimal" w:pos="879"/>
              </w:tabs>
              <w:rPr>
                <w:rFonts w:eastAsia="Calibri"/>
              </w:rPr>
            </w:pPr>
            <w:r>
              <w:rPr>
                <w:rFonts w:eastAsia="Calibri"/>
              </w:rPr>
              <w:t>26</w:t>
            </w:r>
          </w:p>
        </w:tc>
        <w:tc>
          <w:tcPr>
            <w:tcW w:w="2268" w:type="dxa"/>
            <w:tcBorders>
              <w:bottom w:val="single" w:sz="4" w:space="0" w:color="auto"/>
            </w:tcBorders>
            <w:shd w:val="clear" w:color="auto" w:fill="auto"/>
          </w:tcPr>
          <w:p w:rsidR="003E1D51" w:rsidRDefault="003E1D51" w:rsidP="00F51502">
            <w:pPr>
              <w:pStyle w:val="Tabletext"/>
              <w:tabs>
                <w:tab w:val="decimal" w:pos="1021"/>
              </w:tabs>
              <w:rPr>
                <w:rFonts w:eastAsia="Calibri"/>
              </w:rPr>
            </w:pPr>
            <w:r>
              <w:rPr>
                <w:rFonts w:eastAsia="Calibri"/>
              </w:rPr>
              <w:t>2.3</w:t>
            </w:r>
          </w:p>
        </w:tc>
      </w:tr>
    </w:tbl>
    <w:p w:rsidR="00582D3A" w:rsidRPr="00E5745D" w:rsidRDefault="00582D3A" w:rsidP="00F51502">
      <w:pPr>
        <w:pStyle w:val="Source"/>
        <w:rPr>
          <w:rFonts w:eastAsia="Calibri"/>
        </w:rPr>
      </w:pPr>
      <w:r>
        <w:rPr>
          <w:rFonts w:eastAsia="Calibri"/>
        </w:rPr>
        <w:t>Note:</w:t>
      </w:r>
      <w:r w:rsidR="00F51502">
        <w:rPr>
          <w:rFonts w:eastAsia="Calibri"/>
        </w:rPr>
        <w:tab/>
      </w:r>
      <w:r>
        <w:rPr>
          <w:rFonts w:eastAsia="Calibri"/>
        </w:rPr>
        <w:t>This table only includes those students who were present in both the 1999 and 2009 surveys.</w:t>
      </w:r>
      <w:r w:rsidR="00EE5442" w:rsidRPr="00EE5442">
        <w:rPr>
          <w:rFonts w:eastAsia="Calibri"/>
        </w:rPr>
        <w:t xml:space="preserve"> </w:t>
      </w:r>
      <w:r w:rsidR="00EE5442" w:rsidRPr="00E5745D">
        <w:rPr>
          <w:rFonts w:eastAsia="Calibri"/>
        </w:rPr>
        <w:t xml:space="preserve">Total sample size = </w:t>
      </w:r>
      <w:r w:rsidR="00EE5442">
        <w:rPr>
          <w:rFonts w:eastAsia="Calibri"/>
        </w:rPr>
        <w:t>1108.</w:t>
      </w:r>
    </w:p>
    <w:p w:rsidR="003E1D51" w:rsidRDefault="00F51502" w:rsidP="00F51502">
      <w:pPr>
        <w:pStyle w:val="Source"/>
        <w:rPr>
          <w:rFonts w:eastAsia="Calibri"/>
        </w:rPr>
      </w:pPr>
      <w:r>
        <w:rPr>
          <w:rFonts w:eastAsia="Calibri"/>
        </w:rPr>
        <w:t>Source:</w:t>
      </w:r>
      <w:r>
        <w:rPr>
          <w:rFonts w:eastAsia="Calibri"/>
        </w:rPr>
        <w:tab/>
      </w:r>
      <w:r w:rsidR="00DA6B5B">
        <w:rPr>
          <w:rFonts w:eastAsia="Calibri"/>
        </w:rPr>
        <w:t>LSAY 19</w:t>
      </w:r>
      <w:r w:rsidR="003E1D51" w:rsidRPr="00E5745D">
        <w:rPr>
          <w:rFonts w:eastAsia="Calibri"/>
        </w:rPr>
        <w:t xml:space="preserve">98 cohort, 1999 survey, weighted estimates. </w:t>
      </w:r>
    </w:p>
    <w:p w:rsidR="00A3381A" w:rsidRDefault="005E608A" w:rsidP="0038754B">
      <w:pPr>
        <w:pStyle w:val="Textmorebefore"/>
        <w:rPr>
          <w:rFonts w:eastAsia="Calibri"/>
        </w:rPr>
      </w:pPr>
      <w:bookmarkStart w:id="79" w:name="_Toc358211503"/>
      <w:r>
        <w:rPr>
          <w:rFonts w:eastAsia="Calibri"/>
        </w:rPr>
        <w:t>T</w:t>
      </w:r>
      <w:r w:rsidR="00A3381A">
        <w:rPr>
          <w:rFonts w:eastAsia="Calibri"/>
        </w:rPr>
        <w:t xml:space="preserve">he most common </w:t>
      </w:r>
      <w:r w:rsidRPr="006A6251">
        <w:rPr>
          <w:rFonts w:eastAsia="Calibri"/>
          <w:i/>
        </w:rPr>
        <w:t>actual</w:t>
      </w:r>
      <w:r>
        <w:rPr>
          <w:rFonts w:eastAsia="Calibri"/>
        </w:rPr>
        <w:t xml:space="preserve"> </w:t>
      </w:r>
      <w:r w:rsidR="006A6251">
        <w:rPr>
          <w:rFonts w:eastAsia="Calibri"/>
        </w:rPr>
        <w:t xml:space="preserve">jobs held by </w:t>
      </w:r>
      <w:r w:rsidR="00A3381A">
        <w:rPr>
          <w:rFonts w:eastAsia="Calibri"/>
        </w:rPr>
        <w:t>m</w:t>
      </w:r>
      <w:r w:rsidR="006A6251">
        <w:rPr>
          <w:rFonts w:eastAsia="Calibri"/>
        </w:rPr>
        <w:t>ales and females from the LSAY 19</w:t>
      </w:r>
      <w:r w:rsidR="00A3381A">
        <w:rPr>
          <w:rFonts w:eastAsia="Calibri"/>
        </w:rPr>
        <w:t>98 cohort, at age 25</w:t>
      </w:r>
      <w:r w:rsidR="00582D3A">
        <w:rPr>
          <w:rFonts w:eastAsia="Calibri"/>
        </w:rPr>
        <w:t xml:space="preserve"> years, are listed in t</w:t>
      </w:r>
      <w:r w:rsidR="00A3381A">
        <w:rPr>
          <w:rFonts w:eastAsia="Calibri"/>
        </w:rPr>
        <w:t xml:space="preserve">ables </w:t>
      </w:r>
      <w:r w:rsidR="00EB20BB">
        <w:rPr>
          <w:rFonts w:eastAsia="Calibri"/>
        </w:rPr>
        <w:t>10</w:t>
      </w:r>
      <w:r w:rsidR="00A3381A">
        <w:rPr>
          <w:rFonts w:eastAsia="Calibri"/>
        </w:rPr>
        <w:t xml:space="preserve"> and </w:t>
      </w:r>
      <w:r w:rsidR="00EB20BB">
        <w:rPr>
          <w:rFonts w:eastAsia="Calibri"/>
        </w:rPr>
        <w:t>11</w:t>
      </w:r>
      <w:r w:rsidR="00A3381A">
        <w:rPr>
          <w:rFonts w:eastAsia="Calibri"/>
        </w:rPr>
        <w:t>.</w:t>
      </w:r>
    </w:p>
    <w:p w:rsidR="00F51502" w:rsidRDefault="00F51502">
      <w:pPr>
        <w:spacing w:before="0" w:line="240" w:lineRule="auto"/>
        <w:rPr>
          <w:rFonts w:ascii="Tahoma" w:eastAsia="Calibri" w:hAnsi="Tahoma"/>
          <w:b/>
          <w:sz w:val="17"/>
        </w:rPr>
      </w:pPr>
      <w:r>
        <w:rPr>
          <w:rFonts w:eastAsia="Calibri"/>
        </w:rPr>
        <w:br w:type="page"/>
      </w:r>
    </w:p>
    <w:p w:rsidR="00A3381A" w:rsidRDefault="00A3381A" w:rsidP="00A3381A">
      <w:pPr>
        <w:pStyle w:val="tabletitle"/>
        <w:rPr>
          <w:rFonts w:eastAsia="Calibri"/>
        </w:rPr>
      </w:pPr>
      <w:bookmarkStart w:id="80" w:name="_Toc377396987"/>
      <w:r w:rsidRPr="00F70A69">
        <w:rPr>
          <w:rFonts w:eastAsia="Calibri"/>
        </w:rPr>
        <w:lastRenderedPageBreak/>
        <w:t xml:space="preserve">Table </w:t>
      </w:r>
      <w:r w:rsidR="00EB20BB">
        <w:rPr>
          <w:rFonts w:eastAsia="Calibri"/>
        </w:rPr>
        <w:t>10</w:t>
      </w:r>
      <w:r>
        <w:rPr>
          <w:rFonts w:eastAsia="Calibri"/>
        </w:rPr>
        <w:tab/>
        <w:t>M</w:t>
      </w:r>
      <w:r w:rsidRPr="00F70A69">
        <w:rPr>
          <w:rFonts w:eastAsia="Calibri"/>
        </w:rPr>
        <w:t xml:space="preserve">ost </w:t>
      </w:r>
      <w:r>
        <w:rPr>
          <w:rFonts w:eastAsia="Calibri"/>
        </w:rPr>
        <w:t>common jobs held at age 25</w:t>
      </w:r>
      <w:r w:rsidR="00DF6F4A">
        <w:rPr>
          <w:rFonts w:eastAsia="Calibri"/>
        </w:rPr>
        <w:t xml:space="preserve"> years</w:t>
      </w:r>
      <w:r>
        <w:rPr>
          <w:rFonts w:eastAsia="Calibri"/>
        </w:rPr>
        <w:t>, LSA</w:t>
      </w:r>
      <w:r w:rsidRPr="003E3887">
        <w:rPr>
          <w:rFonts w:eastAsia="Calibri"/>
        </w:rPr>
        <w:t>Y</w:t>
      </w:r>
      <w:r w:rsidR="006A6251">
        <w:rPr>
          <w:rFonts w:eastAsia="Calibri"/>
        </w:rPr>
        <w:t xml:space="preserve"> 19</w:t>
      </w:r>
      <w:r>
        <w:rPr>
          <w:rFonts w:eastAsia="Calibri"/>
        </w:rPr>
        <w:t>98 cohort, males</w:t>
      </w:r>
      <w:bookmarkEnd w:id="80"/>
    </w:p>
    <w:tbl>
      <w:tblPr>
        <w:tblW w:w="8789" w:type="dxa"/>
        <w:tblInd w:w="113" w:type="dxa"/>
        <w:tblLayout w:type="fixed"/>
        <w:tblCellMar>
          <w:left w:w="113" w:type="dxa"/>
          <w:right w:w="113" w:type="dxa"/>
        </w:tblCellMar>
        <w:tblLook w:val="0000" w:firstRow="0" w:lastRow="0" w:firstColumn="0" w:lastColumn="0" w:noHBand="0" w:noVBand="0"/>
      </w:tblPr>
      <w:tblGrid>
        <w:gridCol w:w="4691"/>
        <w:gridCol w:w="1688"/>
        <w:gridCol w:w="2410"/>
      </w:tblGrid>
      <w:tr w:rsidR="00A3381A" w:rsidRPr="00E5745D" w:rsidTr="005A1C3B">
        <w:tc>
          <w:tcPr>
            <w:tcW w:w="4691" w:type="dxa"/>
            <w:tcBorders>
              <w:top w:val="single" w:sz="4" w:space="0" w:color="auto"/>
              <w:bottom w:val="single" w:sz="4" w:space="0" w:color="auto"/>
            </w:tcBorders>
            <w:shd w:val="clear" w:color="auto" w:fill="auto"/>
          </w:tcPr>
          <w:p w:rsidR="00A3381A" w:rsidRPr="00E5745D" w:rsidRDefault="00A3381A" w:rsidP="005A1C3B">
            <w:pPr>
              <w:pStyle w:val="Tablehead1"/>
              <w:rPr>
                <w:rFonts w:eastAsia="Calibri"/>
              </w:rPr>
            </w:pPr>
            <w:r w:rsidRPr="00E5745D">
              <w:rPr>
                <w:rFonts w:eastAsia="Calibri"/>
              </w:rPr>
              <w:t>Occupation</w:t>
            </w:r>
            <w:r>
              <w:rPr>
                <w:rFonts w:eastAsia="Calibri"/>
              </w:rPr>
              <w:t xml:space="preserve"> (ANZSCO 4-digit)</w:t>
            </w:r>
          </w:p>
        </w:tc>
        <w:tc>
          <w:tcPr>
            <w:tcW w:w="1688" w:type="dxa"/>
            <w:tcBorders>
              <w:top w:val="single" w:sz="4" w:space="0" w:color="auto"/>
              <w:bottom w:val="single" w:sz="4" w:space="0" w:color="auto"/>
            </w:tcBorders>
          </w:tcPr>
          <w:p w:rsidR="00A3381A" w:rsidRPr="00E5745D" w:rsidRDefault="00C7109F" w:rsidP="005A1C3B">
            <w:pPr>
              <w:pStyle w:val="Tablehead1"/>
              <w:jc w:val="center"/>
              <w:rPr>
                <w:rFonts w:eastAsia="Calibri"/>
              </w:rPr>
            </w:pPr>
            <w:r>
              <w:rPr>
                <w:rFonts w:eastAsia="Calibri"/>
              </w:rPr>
              <w:t>n</w:t>
            </w:r>
          </w:p>
        </w:tc>
        <w:tc>
          <w:tcPr>
            <w:tcW w:w="2410" w:type="dxa"/>
            <w:tcBorders>
              <w:top w:val="single" w:sz="4" w:space="0" w:color="auto"/>
              <w:bottom w:val="single" w:sz="4" w:space="0" w:color="auto"/>
            </w:tcBorders>
            <w:shd w:val="clear" w:color="auto" w:fill="auto"/>
            <w:tcMar>
              <w:left w:w="0" w:type="dxa"/>
              <w:right w:w="0" w:type="dxa"/>
            </w:tcMar>
          </w:tcPr>
          <w:p w:rsidR="00A3381A" w:rsidRPr="00E5745D" w:rsidRDefault="00A3381A" w:rsidP="005A1C3B">
            <w:pPr>
              <w:pStyle w:val="Tablehead1"/>
              <w:jc w:val="center"/>
              <w:rPr>
                <w:rFonts w:eastAsia="Calibri"/>
              </w:rPr>
            </w:pPr>
            <w:r w:rsidRPr="00E5745D">
              <w:rPr>
                <w:rFonts w:eastAsia="Calibri"/>
              </w:rPr>
              <w:t xml:space="preserve">% of sample </w:t>
            </w:r>
            <w:r>
              <w:rPr>
                <w:rFonts w:eastAsia="Calibri"/>
              </w:rPr>
              <w:t xml:space="preserve">working in this </w:t>
            </w:r>
            <w:r w:rsidRPr="00E5745D">
              <w:rPr>
                <w:rFonts w:eastAsia="Calibri"/>
              </w:rPr>
              <w:t>occupation</w:t>
            </w:r>
            <w:r>
              <w:rPr>
                <w:rFonts w:eastAsia="Calibri"/>
              </w:rPr>
              <w:t xml:space="preserve"> at age 25</w:t>
            </w:r>
            <w:r w:rsidR="00582D3A">
              <w:rPr>
                <w:rFonts w:eastAsia="Calibri"/>
              </w:rPr>
              <w:t xml:space="preserve"> years</w:t>
            </w:r>
          </w:p>
        </w:tc>
      </w:tr>
      <w:tr w:rsidR="00A3381A" w:rsidRPr="00E5745D" w:rsidTr="005A1C3B">
        <w:tc>
          <w:tcPr>
            <w:tcW w:w="4691" w:type="dxa"/>
            <w:tcBorders>
              <w:top w:val="single" w:sz="4" w:space="0" w:color="auto"/>
            </w:tcBorders>
            <w:shd w:val="clear" w:color="auto" w:fill="auto"/>
          </w:tcPr>
          <w:p w:rsidR="00A3381A" w:rsidRPr="008251A0" w:rsidRDefault="00582D3A" w:rsidP="005A1C3B">
            <w:pPr>
              <w:pStyle w:val="Tabletext"/>
              <w:rPr>
                <w:rFonts w:eastAsia="Calibri"/>
              </w:rPr>
            </w:pPr>
            <w:r>
              <w:rPr>
                <w:rFonts w:eastAsia="Calibri"/>
              </w:rPr>
              <w:t>Sales assistants (g</w:t>
            </w:r>
            <w:r w:rsidR="00A3381A">
              <w:rPr>
                <w:rFonts w:eastAsia="Calibri"/>
              </w:rPr>
              <w:t>eneral)</w:t>
            </w:r>
          </w:p>
        </w:tc>
        <w:tc>
          <w:tcPr>
            <w:tcW w:w="1688" w:type="dxa"/>
            <w:tcBorders>
              <w:top w:val="single" w:sz="4" w:space="0" w:color="auto"/>
            </w:tcBorders>
          </w:tcPr>
          <w:p w:rsidR="00A3381A" w:rsidRPr="00E5745D" w:rsidRDefault="00A3381A" w:rsidP="005A1C3B">
            <w:pPr>
              <w:pStyle w:val="Tabletext"/>
              <w:tabs>
                <w:tab w:val="decimal" w:pos="822"/>
              </w:tabs>
              <w:rPr>
                <w:rFonts w:eastAsia="Calibri"/>
              </w:rPr>
            </w:pPr>
            <w:r>
              <w:rPr>
                <w:rFonts w:eastAsia="Calibri"/>
              </w:rPr>
              <w:t>37</w:t>
            </w:r>
          </w:p>
        </w:tc>
        <w:tc>
          <w:tcPr>
            <w:tcW w:w="2410" w:type="dxa"/>
            <w:tcBorders>
              <w:top w:val="single" w:sz="4" w:space="0" w:color="auto"/>
            </w:tcBorders>
            <w:shd w:val="clear" w:color="auto" w:fill="auto"/>
          </w:tcPr>
          <w:p w:rsidR="00A3381A" w:rsidRPr="00E5745D" w:rsidRDefault="00A3381A" w:rsidP="005A1C3B">
            <w:pPr>
              <w:pStyle w:val="Tabletext"/>
              <w:tabs>
                <w:tab w:val="decimal" w:pos="1021"/>
              </w:tabs>
              <w:rPr>
                <w:rFonts w:eastAsia="Calibri"/>
              </w:rPr>
            </w:pPr>
            <w:r>
              <w:rPr>
                <w:rFonts w:eastAsia="Calibri"/>
              </w:rPr>
              <w:t>3.5</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Electricians</w:t>
            </w:r>
          </w:p>
        </w:tc>
        <w:tc>
          <w:tcPr>
            <w:tcW w:w="1688" w:type="dxa"/>
          </w:tcPr>
          <w:p w:rsidR="00A3381A" w:rsidRPr="00E5745D" w:rsidRDefault="00A3381A" w:rsidP="005A1C3B">
            <w:pPr>
              <w:pStyle w:val="Tabletext"/>
              <w:tabs>
                <w:tab w:val="decimal" w:pos="822"/>
              </w:tabs>
              <w:rPr>
                <w:rFonts w:eastAsia="Calibri"/>
              </w:rPr>
            </w:pPr>
            <w:r>
              <w:rPr>
                <w:rFonts w:eastAsia="Calibri"/>
              </w:rPr>
              <w:t>27</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2.5</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 xml:space="preserve">ICT </w:t>
            </w:r>
            <w:r w:rsidR="00582D3A" w:rsidRPr="008251A0">
              <w:rPr>
                <w:rFonts w:eastAsia="Calibri"/>
              </w:rPr>
              <w:t>support technicians</w:t>
            </w:r>
          </w:p>
        </w:tc>
        <w:tc>
          <w:tcPr>
            <w:tcW w:w="1688" w:type="dxa"/>
          </w:tcPr>
          <w:p w:rsidR="00A3381A" w:rsidRPr="00E5745D" w:rsidRDefault="00A3381A" w:rsidP="005A1C3B">
            <w:pPr>
              <w:pStyle w:val="Tabletext"/>
              <w:tabs>
                <w:tab w:val="decimal" w:pos="822"/>
              </w:tabs>
              <w:rPr>
                <w:rFonts w:eastAsia="Calibri"/>
              </w:rPr>
            </w:pPr>
            <w:r>
              <w:rPr>
                <w:rFonts w:eastAsia="Calibri"/>
              </w:rPr>
              <w:t>27</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2.5</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Retail managers</w:t>
            </w:r>
          </w:p>
        </w:tc>
        <w:tc>
          <w:tcPr>
            <w:tcW w:w="1688" w:type="dxa"/>
          </w:tcPr>
          <w:p w:rsidR="00A3381A" w:rsidRPr="00E5745D" w:rsidRDefault="00A3381A" w:rsidP="005A1C3B">
            <w:pPr>
              <w:pStyle w:val="Tabletext"/>
              <w:tabs>
                <w:tab w:val="decimal" w:pos="822"/>
              </w:tabs>
              <w:rPr>
                <w:rFonts w:eastAsia="Calibri"/>
              </w:rPr>
            </w:pPr>
            <w:r>
              <w:rPr>
                <w:rFonts w:eastAsia="Calibri"/>
              </w:rPr>
              <w:t>24</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2.3</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Plumbers</w:t>
            </w:r>
          </w:p>
        </w:tc>
        <w:tc>
          <w:tcPr>
            <w:tcW w:w="1688" w:type="dxa"/>
          </w:tcPr>
          <w:p w:rsidR="00A3381A" w:rsidRPr="00E5745D" w:rsidRDefault="00A3381A" w:rsidP="005A1C3B">
            <w:pPr>
              <w:pStyle w:val="Tabletext"/>
              <w:tabs>
                <w:tab w:val="decimal" w:pos="822"/>
              </w:tabs>
              <w:rPr>
                <w:rFonts w:eastAsia="Calibri"/>
              </w:rPr>
            </w:pPr>
            <w:r>
              <w:rPr>
                <w:rFonts w:eastAsia="Calibri"/>
              </w:rPr>
              <w:t>22</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2.1</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 xml:space="preserve">Carpenters and </w:t>
            </w:r>
            <w:r w:rsidR="00582D3A" w:rsidRPr="008251A0">
              <w:rPr>
                <w:rFonts w:eastAsia="Calibri"/>
              </w:rPr>
              <w:t>joiners</w:t>
            </w:r>
          </w:p>
        </w:tc>
        <w:tc>
          <w:tcPr>
            <w:tcW w:w="1688" w:type="dxa"/>
          </w:tcPr>
          <w:p w:rsidR="00A3381A" w:rsidRPr="00E5745D" w:rsidRDefault="00A3381A" w:rsidP="005A1C3B">
            <w:pPr>
              <w:pStyle w:val="Tabletext"/>
              <w:tabs>
                <w:tab w:val="decimal" w:pos="822"/>
              </w:tabs>
              <w:rPr>
                <w:rFonts w:eastAsia="Calibri"/>
              </w:rPr>
            </w:pPr>
            <w:r>
              <w:rPr>
                <w:rFonts w:eastAsia="Calibri"/>
              </w:rPr>
              <w:t>22</w:t>
            </w:r>
          </w:p>
        </w:tc>
        <w:tc>
          <w:tcPr>
            <w:tcW w:w="2410" w:type="dxa"/>
            <w:shd w:val="clear" w:color="auto" w:fill="auto"/>
          </w:tcPr>
          <w:p w:rsidR="00A3381A" w:rsidRPr="00E5745D" w:rsidRDefault="00A3381A" w:rsidP="005A1C3B">
            <w:pPr>
              <w:pStyle w:val="Tabletext"/>
              <w:tabs>
                <w:tab w:val="decimal" w:pos="1021"/>
              </w:tabs>
              <w:rPr>
                <w:rFonts w:eastAsia="Calibri"/>
              </w:rPr>
            </w:pPr>
            <w:r w:rsidRPr="00E5745D">
              <w:rPr>
                <w:rFonts w:eastAsia="Calibri"/>
              </w:rPr>
              <w:t>2.</w:t>
            </w:r>
            <w:r>
              <w:rPr>
                <w:rFonts w:eastAsia="Calibri"/>
              </w:rPr>
              <w:t>0</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 xml:space="preserve">Police </w:t>
            </w:r>
            <w:r w:rsidR="00582D3A">
              <w:rPr>
                <w:rFonts w:eastAsia="Calibri"/>
              </w:rPr>
              <w:t>officers</w:t>
            </w:r>
          </w:p>
        </w:tc>
        <w:tc>
          <w:tcPr>
            <w:tcW w:w="1688" w:type="dxa"/>
          </w:tcPr>
          <w:p w:rsidR="00A3381A" w:rsidRPr="00E5745D" w:rsidRDefault="00A3381A" w:rsidP="005A1C3B">
            <w:pPr>
              <w:pStyle w:val="Tabletext"/>
              <w:tabs>
                <w:tab w:val="decimal" w:pos="822"/>
              </w:tabs>
              <w:rPr>
                <w:rFonts w:eastAsia="Calibri"/>
              </w:rPr>
            </w:pPr>
            <w:r>
              <w:rPr>
                <w:rFonts w:eastAsia="Calibri"/>
              </w:rPr>
              <w:t>20</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1.9</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 xml:space="preserve">Software and </w:t>
            </w:r>
            <w:r w:rsidR="00582D3A" w:rsidRPr="008251A0">
              <w:rPr>
                <w:rFonts w:eastAsia="Calibri"/>
              </w:rPr>
              <w:t>applications programmers</w:t>
            </w:r>
          </w:p>
        </w:tc>
        <w:tc>
          <w:tcPr>
            <w:tcW w:w="1688" w:type="dxa"/>
          </w:tcPr>
          <w:p w:rsidR="00A3381A" w:rsidRPr="00E5745D" w:rsidRDefault="00A3381A" w:rsidP="005A1C3B">
            <w:pPr>
              <w:pStyle w:val="Tabletext"/>
              <w:tabs>
                <w:tab w:val="decimal" w:pos="822"/>
              </w:tabs>
              <w:rPr>
                <w:rFonts w:eastAsia="Calibri"/>
              </w:rPr>
            </w:pPr>
            <w:r>
              <w:rPr>
                <w:rFonts w:eastAsia="Calibri"/>
              </w:rPr>
              <w:t>17</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1.6</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Accountants</w:t>
            </w:r>
          </w:p>
        </w:tc>
        <w:tc>
          <w:tcPr>
            <w:tcW w:w="1688" w:type="dxa"/>
          </w:tcPr>
          <w:p w:rsidR="00A3381A" w:rsidRPr="00E5745D" w:rsidRDefault="00A3381A" w:rsidP="005A1C3B">
            <w:pPr>
              <w:pStyle w:val="Tabletext"/>
              <w:tabs>
                <w:tab w:val="decimal" w:pos="822"/>
              </w:tabs>
              <w:rPr>
                <w:rFonts w:eastAsia="Calibri"/>
              </w:rPr>
            </w:pPr>
            <w:r>
              <w:rPr>
                <w:rFonts w:eastAsia="Calibri"/>
              </w:rPr>
              <w:t>16</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1.5</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 xml:space="preserve">Cafe and </w:t>
            </w:r>
            <w:r w:rsidR="00582D3A" w:rsidRPr="008251A0">
              <w:rPr>
                <w:rFonts w:eastAsia="Calibri"/>
              </w:rPr>
              <w:t>restaurant managers</w:t>
            </w:r>
          </w:p>
        </w:tc>
        <w:tc>
          <w:tcPr>
            <w:tcW w:w="1688" w:type="dxa"/>
          </w:tcPr>
          <w:p w:rsidR="00A3381A" w:rsidRDefault="00A3381A" w:rsidP="005A1C3B">
            <w:pPr>
              <w:pStyle w:val="Tabletext"/>
              <w:tabs>
                <w:tab w:val="decimal" w:pos="822"/>
              </w:tabs>
              <w:rPr>
                <w:rFonts w:eastAsia="Calibri"/>
              </w:rPr>
            </w:pPr>
            <w:r>
              <w:rPr>
                <w:rFonts w:eastAsia="Calibri"/>
              </w:rPr>
              <w:t>14</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1.4</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 xml:space="preserve">Motor </w:t>
            </w:r>
            <w:r w:rsidR="00582D3A" w:rsidRPr="008251A0">
              <w:rPr>
                <w:rFonts w:eastAsia="Calibri"/>
              </w:rPr>
              <w:t>mechanics</w:t>
            </w:r>
          </w:p>
        </w:tc>
        <w:tc>
          <w:tcPr>
            <w:tcW w:w="1688" w:type="dxa"/>
          </w:tcPr>
          <w:p w:rsidR="00A3381A" w:rsidRDefault="00A3381A" w:rsidP="005A1C3B">
            <w:pPr>
              <w:pStyle w:val="Tabletext"/>
              <w:tabs>
                <w:tab w:val="decimal" w:pos="822"/>
              </w:tabs>
              <w:rPr>
                <w:rFonts w:eastAsia="Calibri"/>
              </w:rPr>
            </w:pPr>
            <w:r>
              <w:rPr>
                <w:rFonts w:eastAsia="Calibri"/>
              </w:rPr>
              <w:t>13</w:t>
            </w:r>
          </w:p>
        </w:tc>
        <w:tc>
          <w:tcPr>
            <w:tcW w:w="2410" w:type="dxa"/>
            <w:shd w:val="clear" w:color="auto" w:fill="auto"/>
          </w:tcPr>
          <w:p w:rsidR="00A3381A" w:rsidRDefault="00A3381A" w:rsidP="005A1C3B">
            <w:pPr>
              <w:pStyle w:val="Tabletext"/>
              <w:tabs>
                <w:tab w:val="decimal" w:pos="1021"/>
              </w:tabs>
              <w:rPr>
                <w:rFonts w:eastAsia="Calibri"/>
              </w:rPr>
            </w:pPr>
            <w:r>
              <w:rPr>
                <w:rFonts w:eastAsia="Calibri"/>
              </w:rPr>
              <w:t>1.3</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 xml:space="preserve">Welfare </w:t>
            </w:r>
            <w:r w:rsidR="00582D3A" w:rsidRPr="008251A0">
              <w:rPr>
                <w:rFonts w:eastAsia="Calibri"/>
              </w:rPr>
              <w:t>support workers</w:t>
            </w:r>
          </w:p>
        </w:tc>
        <w:tc>
          <w:tcPr>
            <w:tcW w:w="1688" w:type="dxa"/>
          </w:tcPr>
          <w:p w:rsidR="00A3381A" w:rsidRDefault="00A3381A" w:rsidP="005A1C3B">
            <w:pPr>
              <w:pStyle w:val="Tabletext"/>
              <w:tabs>
                <w:tab w:val="decimal" w:pos="822"/>
              </w:tabs>
              <w:rPr>
                <w:rFonts w:eastAsia="Calibri"/>
              </w:rPr>
            </w:pPr>
            <w:r>
              <w:rPr>
                <w:rFonts w:eastAsia="Calibri"/>
              </w:rPr>
              <w:t>13</w:t>
            </w:r>
          </w:p>
        </w:tc>
        <w:tc>
          <w:tcPr>
            <w:tcW w:w="2410" w:type="dxa"/>
            <w:shd w:val="clear" w:color="auto" w:fill="auto"/>
          </w:tcPr>
          <w:p w:rsidR="00A3381A" w:rsidRDefault="00A3381A" w:rsidP="005A1C3B">
            <w:pPr>
              <w:pStyle w:val="Tabletext"/>
              <w:tabs>
                <w:tab w:val="decimal" w:pos="1021"/>
              </w:tabs>
              <w:rPr>
                <w:rFonts w:eastAsia="Calibri"/>
              </w:rPr>
            </w:pPr>
            <w:r>
              <w:rPr>
                <w:rFonts w:eastAsia="Calibri"/>
              </w:rPr>
              <w:t>1.2</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 xml:space="preserve">Contract, </w:t>
            </w:r>
            <w:r w:rsidR="00582D3A" w:rsidRPr="008251A0">
              <w:rPr>
                <w:rFonts w:eastAsia="Calibri"/>
              </w:rPr>
              <w:t>program and project administrator</w:t>
            </w:r>
          </w:p>
        </w:tc>
        <w:tc>
          <w:tcPr>
            <w:tcW w:w="1688" w:type="dxa"/>
          </w:tcPr>
          <w:p w:rsidR="00A3381A" w:rsidRPr="00E5745D" w:rsidRDefault="00A3381A" w:rsidP="005A1C3B">
            <w:pPr>
              <w:pStyle w:val="Tabletext"/>
              <w:tabs>
                <w:tab w:val="decimal" w:pos="822"/>
              </w:tabs>
              <w:rPr>
                <w:rFonts w:eastAsia="Calibri"/>
              </w:rPr>
            </w:pPr>
            <w:r>
              <w:rPr>
                <w:rFonts w:eastAsia="Calibri"/>
              </w:rPr>
              <w:t>12</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1.1</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 xml:space="preserve">Secondary </w:t>
            </w:r>
            <w:r w:rsidR="00582D3A" w:rsidRPr="008251A0">
              <w:rPr>
                <w:rFonts w:eastAsia="Calibri"/>
              </w:rPr>
              <w:t>school teachers</w:t>
            </w:r>
          </w:p>
        </w:tc>
        <w:tc>
          <w:tcPr>
            <w:tcW w:w="1688" w:type="dxa"/>
          </w:tcPr>
          <w:p w:rsidR="00A3381A" w:rsidRDefault="00A3381A" w:rsidP="005A1C3B">
            <w:pPr>
              <w:pStyle w:val="Tabletext"/>
              <w:tabs>
                <w:tab w:val="decimal" w:pos="822"/>
              </w:tabs>
              <w:rPr>
                <w:rFonts w:eastAsia="Calibri"/>
              </w:rPr>
            </w:pPr>
            <w:r>
              <w:rPr>
                <w:rFonts w:eastAsia="Calibri"/>
              </w:rPr>
              <w:t>12</w:t>
            </w:r>
          </w:p>
        </w:tc>
        <w:tc>
          <w:tcPr>
            <w:tcW w:w="2410" w:type="dxa"/>
            <w:shd w:val="clear" w:color="auto" w:fill="auto"/>
          </w:tcPr>
          <w:p w:rsidR="00A3381A" w:rsidRDefault="00A3381A" w:rsidP="005A1C3B">
            <w:pPr>
              <w:pStyle w:val="Tabletext"/>
              <w:tabs>
                <w:tab w:val="decimal" w:pos="1021"/>
              </w:tabs>
              <w:rPr>
                <w:rFonts w:eastAsia="Calibri"/>
              </w:rPr>
            </w:pPr>
            <w:r>
              <w:rPr>
                <w:rFonts w:eastAsia="Calibri"/>
              </w:rPr>
              <w:t>1.1</w:t>
            </w:r>
          </w:p>
        </w:tc>
      </w:tr>
      <w:tr w:rsidR="00A3381A" w:rsidRPr="00E5745D" w:rsidTr="005A1C3B">
        <w:tc>
          <w:tcPr>
            <w:tcW w:w="4691" w:type="dxa"/>
            <w:shd w:val="clear" w:color="auto" w:fill="auto"/>
          </w:tcPr>
          <w:p w:rsidR="00A3381A" w:rsidRPr="008251A0" w:rsidRDefault="00A3381A" w:rsidP="005A1C3B">
            <w:pPr>
              <w:pStyle w:val="Tabletext"/>
              <w:rPr>
                <w:rFonts w:eastAsia="Calibri"/>
              </w:rPr>
            </w:pPr>
            <w:r w:rsidRPr="008251A0">
              <w:rPr>
                <w:rFonts w:eastAsia="Calibri"/>
              </w:rPr>
              <w:t xml:space="preserve">Structural </w:t>
            </w:r>
            <w:r w:rsidR="00582D3A" w:rsidRPr="008251A0">
              <w:rPr>
                <w:rFonts w:eastAsia="Calibri"/>
              </w:rPr>
              <w:t>steel and welding trades workers</w:t>
            </w:r>
          </w:p>
        </w:tc>
        <w:tc>
          <w:tcPr>
            <w:tcW w:w="1688" w:type="dxa"/>
          </w:tcPr>
          <w:p w:rsidR="00A3381A" w:rsidRDefault="00A3381A" w:rsidP="005A1C3B">
            <w:pPr>
              <w:pStyle w:val="Tabletext"/>
              <w:tabs>
                <w:tab w:val="decimal" w:pos="822"/>
              </w:tabs>
              <w:rPr>
                <w:rFonts w:eastAsia="Calibri"/>
              </w:rPr>
            </w:pPr>
            <w:r>
              <w:rPr>
                <w:rFonts w:eastAsia="Calibri"/>
              </w:rPr>
              <w:t>12</w:t>
            </w:r>
          </w:p>
        </w:tc>
        <w:tc>
          <w:tcPr>
            <w:tcW w:w="2410" w:type="dxa"/>
            <w:shd w:val="clear" w:color="auto" w:fill="auto"/>
          </w:tcPr>
          <w:p w:rsidR="00A3381A" w:rsidRDefault="00A3381A" w:rsidP="005A1C3B">
            <w:pPr>
              <w:pStyle w:val="Tabletext"/>
              <w:tabs>
                <w:tab w:val="decimal" w:pos="1021"/>
              </w:tabs>
              <w:rPr>
                <w:rFonts w:eastAsia="Calibri"/>
              </w:rPr>
            </w:pPr>
            <w:r>
              <w:rPr>
                <w:rFonts w:eastAsia="Calibri"/>
              </w:rPr>
              <w:t>1.1</w:t>
            </w:r>
          </w:p>
        </w:tc>
      </w:tr>
      <w:tr w:rsidR="00A3381A" w:rsidRPr="00E5745D" w:rsidTr="005A1C3B">
        <w:tc>
          <w:tcPr>
            <w:tcW w:w="4691" w:type="dxa"/>
            <w:tcBorders>
              <w:bottom w:val="single" w:sz="4" w:space="0" w:color="auto"/>
            </w:tcBorders>
            <w:shd w:val="clear" w:color="auto" w:fill="auto"/>
          </w:tcPr>
          <w:p w:rsidR="00A3381A" w:rsidRPr="008251A0" w:rsidRDefault="00A3381A" w:rsidP="005A1C3B">
            <w:pPr>
              <w:pStyle w:val="Tabletext"/>
              <w:rPr>
                <w:rFonts w:eastAsia="Calibri"/>
              </w:rPr>
            </w:pPr>
            <w:r w:rsidRPr="008251A0">
              <w:rPr>
                <w:rFonts w:eastAsia="Calibri"/>
              </w:rPr>
              <w:t xml:space="preserve">Civil </w:t>
            </w:r>
            <w:r w:rsidR="00582D3A" w:rsidRPr="008251A0">
              <w:rPr>
                <w:rFonts w:eastAsia="Calibri"/>
              </w:rPr>
              <w:t>engineering professionals</w:t>
            </w:r>
          </w:p>
        </w:tc>
        <w:tc>
          <w:tcPr>
            <w:tcW w:w="1688" w:type="dxa"/>
            <w:tcBorders>
              <w:bottom w:val="single" w:sz="4" w:space="0" w:color="auto"/>
            </w:tcBorders>
          </w:tcPr>
          <w:p w:rsidR="00A3381A" w:rsidRDefault="00A3381A" w:rsidP="005A1C3B">
            <w:pPr>
              <w:pStyle w:val="Tabletext"/>
              <w:tabs>
                <w:tab w:val="decimal" w:pos="822"/>
              </w:tabs>
              <w:rPr>
                <w:rFonts w:eastAsia="Calibri"/>
              </w:rPr>
            </w:pPr>
            <w:r>
              <w:rPr>
                <w:rFonts w:eastAsia="Calibri"/>
              </w:rPr>
              <w:t>12</w:t>
            </w:r>
          </w:p>
        </w:tc>
        <w:tc>
          <w:tcPr>
            <w:tcW w:w="2410" w:type="dxa"/>
            <w:tcBorders>
              <w:bottom w:val="single" w:sz="4" w:space="0" w:color="auto"/>
            </w:tcBorders>
            <w:shd w:val="clear" w:color="auto" w:fill="auto"/>
          </w:tcPr>
          <w:p w:rsidR="00A3381A" w:rsidRDefault="00A3381A" w:rsidP="005A1C3B">
            <w:pPr>
              <w:pStyle w:val="Tabletext"/>
              <w:tabs>
                <w:tab w:val="decimal" w:pos="1021"/>
              </w:tabs>
              <w:rPr>
                <w:rFonts w:eastAsia="Calibri"/>
              </w:rPr>
            </w:pPr>
            <w:r>
              <w:rPr>
                <w:rFonts w:eastAsia="Calibri"/>
              </w:rPr>
              <w:t>1.1</w:t>
            </w:r>
          </w:p>
        </w:tc>
      </w:tr>
    </w:tbl>
    <w:p w:rsidR="00056E13" w:rsidRDefault="00A3381A" w:rsidP="005A1C3B">
      <w:pPr>
        <w:pStyle w:val="Source"/>
        <w:rPr>
          <w:rFonts w:eastAsia="Calibri"/>
        </w:rPr>
      </w:pPr>
      <w:r>
        <w:rPr>
          <w:rFonts w:eastAsia="Calibri"/>
        </w:rPr>
        <w:t>Note:</w:t>
      </w:r>
      <w:r w:rsidR="005A1C3B">
        <w:rPr>
          <w:rFonts w:eastAsia="Calibri"/>
        </w:rPr>
        <w:tab/>
      </w:r>
      <w:r>
        <w:rPr>
          <w:rFonts w:eastAsia="Calibri"/>
        </w:rPr>
        <w:t>This table only includes those students who were present in both the 1999 and 2009 survey</w:t>
      </w:r>
      <w:r w:rsidR="00056E13">
        <w:rPr>
          <w:rFonts w:eastAsia="Calibri"/>
        </w:rPr>
        <w:t>s</w:t>
      </w:r>
      <w:r>
        <w:rPr>
          <w:rFonts w:eastAsia="Calibri"/>
        </w:rPr>
        <w:t>.</w:t>
      </w:r>
      <w:r w:rsidR="00056E13">
        <w:rPr>
          <w:rFonts w:eastAsia="Calibri"/>
        </w:rPr>
        <w:t xml:space="preserve"> </w:t>
      </w:r>
      <w:r w:rsidR="00EE5442" w:rsidRPr="00E5745D">
        <w:rPr>
          <w:rFonts w:eastAsia="Calibri"/>
        </w:rPr>
        <w:t xml:space="preserve">Total sample size = </w:t>
      </w:r>
      <w:r w:rsidR="00EE5442">
        <w:rPr>
          <w:rFonts w:eastAsia="Calibri"/>
        </w:rPr>
        <w:t xml:space="preserve">1062. </w:t>
      </w:r>
      <w:r w:rsidR="00056E13">
        <w:rPr>
          <w:rFonts w:eastAsia="Calibri"/>
        </w:rPr>
        <w:t>ANZSCO = Australian and New Zealand Standard Classification of Occupations.</w:t>
      </w:r>
    </w:p>
    <w:p w:rsidR="00582D3A" w:rsidRDefault="005A1C3B" w:rsidP="005A1C3B">
      <w:pPr>
        <w:pStyle w:val="Source"/>
        <w:rPr>
          <w:rFonts w:eastAsia="Calibri"/>
        </w:rPr>
      </w:pPr>
      <w:r>
        <w:rPr>
          <w:rFonts w:eastAsia="Calibri"/>
        </w:rPr>
        <w:t>Source:</w:t>
      </w:r>
      <w:r>
        <w:rPr>
          <w:rFonts w:eastAsia="Calibri"/>
        </w:rPr>
        <w:tab/>
      </w:r>
      <w:r w:rsidR="00582D3A">
        <w:rPr>
          <w:rFonts w:eastAsia="Calibri"/>
        </w:rPr>
        <w:t>LSAY 19</w:t>
      </w:r>
      <w:r w:rsidR="00582D3A" w:rsidRPr="00E5745D">
        <w:rPr>
          <w:rFonts w:eastAsia="Calibri"/>
        </w:rPr>
        <w:t xml:space="preserve">98 cohort, 1999 survey, weighted estimates. </w:t>
      </w:r>
    </w:p>
    <w:p w:rsidR="00A3381A" w:rsidRDefault="00A3381A" w:rsidP="00A3381A">
      <w:pPr>
        <w:pStyle w:val="tabletitle"/>
        <w:rPr>
          <w:rFonts w:eastAsia="Calibri"/>
        </w:rPr>
      </w:pPr>
      <w:bookmarkStart w:id="81" w:name="_Toc377396988"/>
      <w:r w:rsidRPr="00F70A69">
        <w:rPr>
          <w:rFonts w:eastAsia="Calibri"/>
        </w:rPr>
        <w:t xml:space="preserve">Table </w:t>
      </w:r>
      <w:r w:rsidR="00C7109F">
        <w:rPr>
          <w:rFonts w:eastAsia="Calibri"/>
        </w:rPr>
        <w:t>1</w:t>
      </w:r>
      <w:r w:rsidR="00EB20BB">
        <w:rPr>
          <w:rFonts w:eastAsia="Calibri"/>
        </w:rPr>
        <w:t>1</w:t>
      </w:r>
      <w:r>
        <w:rPr>
          <w:rFonts w:eastAsia="Calibri"/>
        </w:rPr>
        <w:tab/>
        <w:t>M</w:t>
      </w:r>
      <w:r w:rsidRPr="00F70A69">
        <w:rPr>
          <w:rFonts w:eastAsia="Calibri"/>
        </w:rPr>
        <w:t xml:space="preserve">ost </w:t>
      </w:r>
      <w:r>
        <w:rPr>
          <w:rFonts w:eastAsia="Calibri"/>
        </w:rPr>
        <w:t>co</w:t>
      </w:r>
      <w:r w:rsidR="00E61E35">
        <w:rPr>
          <w:rFonts w:eastAsia="Calibri"/>
        </w:rPr>
        <w:t>mmon jobs held at age 25</w:t>
      </w:r>
      <w:r w:rsidR="00DF6F4A">
        <w:rPr>
          <w:rFonts w:eastAsia="Calibri"/>
        </w:rPr>
        <w:t xml:space="preserve"> years</w:t>
      </w:r>
      <w:r w:rsidR="00E61E35">
        <w:rPr>
          <w:rFonts w:eastAsia="Calibri"/>
        </w:rPr>
        <w:t>, LSAY 19</w:t>
      </w:r>
      <w:r>
        <w:rPr>
          <w:rFonts w:eastAsia="Calibri"/>
        </w:rPr>
        <w:t>98 cohort, females</w:t>
      </w:r>
      <w:bookmarkEnd w:id="81"/>
    </w:p>
    <w:tbl>
      <w:tblPr>
        <w:tblW w:w="8789" w:type="dxa"/>
        <w:tblInd w:w="113" w:type="dxa"/>
        <w:tblLayout w:type="fixed"/>
        <w:tblCellMar>
          <w:left w:w="113" w:type="dxa"/>
          <w:right w:w="113" w:type="dxa"/>
        </w:tblCellMar>
        <w:tblLook w:val="0000" w:firstRow="0" w:lastRow="0" w:firstColumn="0" w:lastColumn="0" w:noHBand="0" w:noVBand="0"/>
      </w:tblPr>
      <w:tblGrid>
        <w:gridCol w:w="4678"/>
        <w:gridCol w:w="1701"/>
        <w:gridCol w:w="2410"/>
      </w:tblGrid>
      <w:tr w:rsidR="00A3381A" w:rsidRPr="00E5745D" w:rsidTr="005A1C3B">
        <w:tc>
          <w:tcPr>
            <w:tcW w:w="4678" w:type="dxa"/>
            <w:tcBorders>
              <w:top w:val="single" w:sz="4" w:space="0" w:color="auto"/>
              <w:bottom w:val="single" w:sz="4" w:space="0" w:color="auto"/>
            </w:tcBorders>
            <w:shd w:val="clear" w:color="auto" w:fill="auto"/>
          </w:tcPr>
          <w:p w:rsidR="00A3381A" w:rsidRPr="00E5745D" w:rsidRDefault="00A3381A" w:rsidP="005A1C3B">
            <w:pPr>
              <w:pStyle w:val="Tablehead1"/>
              <w:rPr>
                <w:rFonts w:eastAsia="Calibri"/>
              </w:rPr>
            </w:pPr>
            <w:r w:rsidRPr="00E5745D">
              <w:rPr>
                <w:rFonts w:eastAsia="Calibri"/>
              </w:rPr>
              <w:t>Occupation</w:t>
            </w:r>
            <w:r>
              <w:rPr>
                <w:rFonts w:eastAsia="Calibri"/>
              </w:rPr>
              <w:t xml:space="preserve"> (ANZSCO 4-digit)</w:t>
            </w:r>
          </w:p>
        </w:tc>
        <w:tc>
          <w:tcPr>
            <w:tcW w:w="1701" w:type="dxa"/>
            <w:tcBorders>
              <w:top w:val="single" w:sz="4" w:space="0" w:color="auto"/>
              <w:bottom w:val="single" w:sz="4" w:space="0" w:color="auto"/>
            </w:tcBorders>
          </w:tcPr>
          <w:p w:rsidR="00A3381A" w:rsidRPr="00E5745D" w:rsidRDefault="00C7109F" w:rsidP="005A1C3B">
            <w:pPr>
              <w:pStyle w:val="Tablehead1"/>
              <w:jc w:val="center"/>
              <w:rPr>
                <w:rFonts w:eastAsia="Calibri"/>
              </w:rPr>
            </w:pPr>
            <w:r>
              <w:rPr>
                <w:rFonts w:eastAsia="Calibri"/>
              </w:rPr>
              <w:t>n</w:t>
            </w:r>
          </w:p>
        </w:tc>
        <w:tc>
          <w:tcPr>
            <w:tcW w:w="2410" w:type="dxa"/>
            <w:tcBorders>
              <w:top w:val="single" w:sz="4" w:space="0" w:color="auto"/>
              <w:bottom w:val="single" w:sz="4" w:space="0" w:color="auto"/>
            </w:tcBorders>
            <w:shd w:val="clear" w:color="auto" w:fill="auto"/>
            <w:tcMar>
              <w:left w:w="0" w:type="dxa"/>
              <w:right w:w="0" w:type="dxa"/>
            </w:tcMar>
          </w:tcPr>
          <w:p w:rsidR="00A3381A" w:rsidRPr="00E5745D" w:rsidRDefault="00A3381A" w:rsidP="005A1C3B">
            <w:pPr>
              <w:pStyle w:val="Tablehead1"/>
              <w:jc w:val="center"/>
              <w:rPr>
                <w:rFonts w:eastAsia="Calibri"/>
              </w:rPr>
            </w:pPr>
            <w:r w:rsidRPr="00E5745D">
              <w:rPr>
                <w:rFonts w:eastAsia="Calibri"/>
              </w:rPr>
              <w:t xml:space="preserve">% of sample </w:t>
            </w:r>
            <w:r>
              <w:rPr>
                <w:rFonts w:eastAsia="Calibri"/>
              </w:rPr>
              <w:t xml:space="preserve">working in this </w:t>
            </w:r>
            <w:r w:rsidRPr="00E5745D">
              <w:rPr>
                <w:rFonts w:eastAsia="Calibri"/>
              </w:rPr>
              <w:t>occupation</w:t>
            </w:r>
            <w:r>
              <w:rPr>
                <w:rFonts w:eastAsia="Calibri"/>
              </w:rPr>
              <w:t xml:space="preserve"> at age 25</w:t>
            </w:r>
            <w:r w:rsidR="00056E13">
              <w:rPr>
                <w:rFonts w:eastAsia="Calibri"/>
              </w:rPr>
              <w:t xml:space="preserve"> years</w:t>
            </w:r>
          </w:p>
        </w:tc>
      </w:tr>
      <w:tr w:rsidR="00A3381A" w:rsidRPr="00E5745D" w:rsidTr="005A1C3B">
        <w:tc>
          <w:tcPr>
            <w:tcW w:w="4678" w:type="dxa"/>
            <w:tcBorders>
              <w:top w:val="single" w:sz="4" w:space="0" w:color="auto"/>
            </w:tcBorders>
            <w:shd w:val="clear" w:color="auto" w:fill="auto"/>
          </w:tcPr>
          <w:p w:rsidR="00A3381A" w:rsidRPr="00537B90" w:rsidRDefault="00A3381A" w:rsidP="005A1C3B">
            <w:pPr>
              <w:pStyle w:val="Tabletext"/>
              <w:rPr>
                <w:rFonts w:eastAsia="Calibri"/>
              </w:rPr>
            </w:pPr>
            <w:r w:rsidRPr="00537B90">
              <w:rPr>
                <w:rFonts w:eastAsia="Calibri"/>
              </w:rPr>
              <w:t xml:space="preserve">Primary </w:t>
            </w:r>
            <w:r w:rsidR="00582D3A" w:rsidRPr="00537B90">
              <w:rPr>
                <w:rFonts w:eastAsia="Calibri"/>
              </w:rPr>
              <w:t>school teachers</w:t>
            </w:r>
          </w:p>
        </w:tc>
        <w:tc>
          <w:tcPr>
            <w:tcW w:w="1701" w:type="dxa"/>
            <w:tcBorders>
              <w:top w:val="single" w:sz="4" w:space="0" w:color="auto"/>
            </w:tcBorders>
          </w:tcPr>
          <w:p w:rsidR="00A3381A" w:rsidRPr="00E5745D" w:rsidRDefault="00A3381A" w:rsidP="005A1C3B">
            <w:pPr>
              <w:pStyle w:val="Tabletext"/>
              <w:tabs>
                <w:tab w:val="decimal" w:pos="822"/>
              </w:tabs>
              <w:rPr>
                <w:rFonts w:eastAsia="Calibri"/>
              </w:rPr>
            </w:pPr>
            <w:r>
              <w:rPr>
                <w:rFonts w:eastAsia="Calibri"/>
              </w:rPr>
              <w:t>68</w:t>
            </w:r>
          </w:p>
        </w:tc>
        <w:tc>
          <w:tcPr>
            <w:tcW w:w="2410" w:type="dxa"/>
            <w:tcBorders>
              <w:top w:val="single" w:sz="4" w:space="0" w:color="auto"/>
            </w:tcBorders>
            <w:shd w:val="clear" w:color="auto" w:fill="auto"/>
          </w:tcPr>
          <w:p w:rsidR="00A3381A" w:rsidRPr="00E5745D" w:rsidRDefault="00A3381A" w:rsidP="005A1C3B">
            <w:pPr>
              <w:pStyle w:val="Tabletext"/>
              <w:tabs>
                <w:tab w:val="decimal" w:pos="1021"/>
              </w:tabs>
              <w:rPr>
                <w:rFonts w:eastAsia="Calibri"/>
              </w:rPr>
            </w:pPr>
            <w:r>
              <w:rPr>
                <w:rFonts w:eastAsia="Calibri"/>
              </w:rPr>
              <w:t>6.1</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Sales assistants (</w:t>
            </w:r>
            <w:r w:rsidR="00582D3A" w:rsidRPr="00537B90">
              <w:rPr>
                <w:rFonts w:eastAsia="Calibri"/>
              </w:rPr>
              <w:t>general)</w:t>
            </w:r>
          </w:p>
        </w:tc>
        <w:tc>
          <w:tcPr>
            <w:tcW w:w="1701" w:type="dxa"/>
          </w:tcPr>
          <w:p w:rsidR="00A3381A" w:rsidRPr="00E5745D" w:rsidRDefault="00A3381A" w:rsidP="005A1C3B">
            <w:pPr>
              <w:pStyle w:val="Tabletext"/>
              <w:tabs>
                <w:tab w:val="decimal" w:pos="822"/>
              </w:tabs>
              <w:rPr>
                <w:rFonts w:eastAsia="Calibri"/>
              </w:rPr>
            </w:pPr>
            <w:r>
              <w:rPr>
                <w:rFonts w:eastAsia="Calibri"/>
              </w:rPr>
              <w:t>50</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4.5</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 xml:space="preserve">Registered </w:t>
            </w:r>
            <w:r w:rsidR="00582D3A" w:rsidRPr="00537B90">
              <w:rPr>
                <w:rFonts w:eastAsia="Calibri"/>
              </w:rPr>
              <w:t>nurse</w:t>
            </w:r>
            <w:r w:rsidRPr="00537B90">
              <w:rPr>
                <w:rFonts w:eastAsia="Calibri"/>
              </w:rPr>
              <w:t>s</w:t>
            </w:r>
          </w:p>
        </w:tc>
        <w:tc>
          <w:tcPr>
            <w:tcW w:w="1701" w:type="dxa"/>
          </w:tcPr>
          <w:p w:rsidR="00A3381A" w:rsidRPr="00E5745D" w:rsidRDefault="00A3381A" w:rsidP="005A1C3B">
            <w:pPr>
              <w:pStyle w:val="Tabletext"/>
              <w:tabs>
                <w:tab w:val="decimal" w:pos="822"/>
              </w:tabs>
              <w:rPr>
                <w:rFonts w:eastAsia="Calibri"/>
              </w:rPr>
            </w:pPr>
            <w:r>
              <w:rPr>
                <w:rFonts w:eastAsia="Calibri"/>
              </w:rPr>
              <w:t>50</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4.5</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Child</w:t>
            </w:r>
            <w:r w:rsidR="00582D3A" w:rsidRPr="00537B90">
              <w:rPr>
                <w:rFonts w:eastAsia="Calibri"/>
              </w:rPr>
              <w:t xml:space="preserve"> carers</w:t>
            </w:r>
          </w:p>
        </w:tc>
        <w:tc>
          <w:tcPr>
            <w:tcW w:w="1701" w:type="dxa"/>
          </w:tcPr>
          <w:p w:rsidR="00A3381A" w:rsidRPr="00E5745D" w:rsidRDefault="00A3381A" w:rsidP="005A1C3B">
            <w:pPr>
              <w:pStyle w:val="Tabletext"/>
              <w:tabs>
                <w:tab w:val="decimal" w:pos="822"/>
              </w:tabs>
              <w:rPr>
                <w:rFonts w:eastAsia="Calibri"/>
              </w:rPr>
            </w:pPr>
            <w:r>
              <w:rPr>
                <w:rFonts w:eastAsia="Calibri"/>
              </w:rPr>
              <w:t>46</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4.1</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 xml:space="preserve">Secondary </w:t>
            </w:r>
            <w:r w:rsidR="00582D3A" w:rsidRPr="00537B90">
              <w:rPr>
                <w:rFonts w:eastAsia="Calibri"/>
              </w:rPr>
              <w:t>school teachers</w:t>
            </w:r>
          </w:p>
        </w:tc>
        <w:tc>
          <w:tcPr>
            <w:tcW w:w="1701" w:type="dxa"/>
          </w:tcPr>
          <w:p w:rsidR="00A3381A" w:rsidRPr="00E5745D" w:rsidRDefault="00A3381A" w:rsidP="005A1C3B">
            <w:pPr>
              <w:pStyle w:val="Tabletext"/>
              <w:tabs>
                <w:tab w:val="decimal" w:pos="822"/>
              </w:tabs>
              <w:rPr>
                <w:rFonts w:eastAsia="Calibri"/>
              </w:rPr>
            </w:pPr>
            <w:r>
              <w:rPr>
                <w:rFonts w:eastAsia="Calibri"/>
              </w:rPr>
              <w:t>43</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3.9</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Retail managers</w:t>
            </w:r>
          </w:p>
        </w:tc>
        <w:tc>
          <w:tcPr>
            <w:tcW w:w="1701" w:type="dxa"/>
          </w:tcPr>
          <w:p w:rsidR="00A3381A" w:rsidRPr="00E5745D" w:rsidRDefault="00A3381A" w:rsidP="005A1C3B">
            <w:pPr>
              <w:pStyle w:val="Tabletext"/>
              <w:tabs>
                <w:tab w:val="decimal" w:pos="822"/>
              </w:tabs>
              <w:rPr>
                <w:rFonts w:eastAsia="Calibri"/>
              </w:rPr>
            </w:pPr>
            <w:r>
              <w:rPr>
                <w:rFonts w:eastAsia="Calibri"/>
              </w:rPr>
              <w:t>39</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3.5</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Accountants</w:t>
            </w:r>
          </w:p>
        </w:tc>
        <w:tc>
          <w:tcPr>
            <w:tcW w:w="1701" w:type="dxa"/>
          </w:tcPr>
          <w:p w:rsidR="00A3381A" w:rsidRPr="00E5745D" w:rsidRDefault="00A3381A" w:rsidP="005A1C3B">
            <w:pPr>
              <w:pStyle w:val="Tabletext"/>
              <w:tabs>
                <w:tab w:val="decimal" w:pos="822"/>
              </w:tabs>
              <w:rPr>
                <w:rFonts w:eastAsia="Calibri"/>
              </w:rPr>
            </w:pPr>
            <w:r>
              <w:rPr>
                <w:rFonts w:eastAsia="Calibri"/>
              </w:rPr>
              <w:t>31</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2.8</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General clerks</w:t>
            </w:r>
          </w:p>
        </w:tc>
        <w:tc>
          <w:tcPr>
            <w:tcW w:w="1701" w:type="dxa"/>
          </w:tcPr>
          <w:p w:rsidR="00A3381A" w:rsidRPr="00E5745D" w:rsidRDefault="00A3381A" w:rsidP="005A1C3B">
            <w:pPr>
              <w:pStyle w:val="Tabletext"/>
              <w:tabs>
                <w:tab w:val="decimal" w:pos="822"/>
              </w:tabs>
              <w:rPr>
                <w:rFonts w:eastAsia="Calibri"/>
              </w:rPr>
            </w:pPr>
            <w:r>
              <w:rPr>
                <w:rFonts w:eastAsia="Calibri"/>
              </w:rPr>
              <w:t>22</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2.0</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Office managers</w:t>
            </w:r>
          </w:p>
        </w:tc>
        <w:tc>
          <w:tcPr>
            <w:tcW w:w="1701" w:type="dxa"/>
          </w:tcPr>
          <w:p w:rsidR="00A3381A" w:rsidRPr="00E5745D" w:rsidRDefault="00A3381A" w:rsidP="005A1C3B">
            <w:pPr>
              <w:pStyle w:val="Tabletext"/>
              <w:tabs>
                <w:tab w:val="decimal" w:pos="822"/>
              </w:tabs>
              <w:rPr>
                <w:rFonts w:eastAsia="Calibri"/>
              </w:rPr>
            </w:pPr>
            <w:r>
              <w:rPr>
                <w:rFonts w:eastAsia="Calibri"/>
              </w:rPr>
              <w:t>21</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1.9</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 xml:space="preserve">Contract, </w:t>
            </w:r>
            <w:r w:rsidR="00582D3A" w:rsidRPr="00537B90">
              <w:rPr>
                <w:rFonts w:eastAsia="Calibri"/>
              </w:rPr>
              <w:t>program and project administrator</w:t>
            </w:r>
          </w:p>
        </w:tc>
        <w:tc>
          <w:tcPr>
            <w:tcW w:w="1701" w:type="dxa"/>
          </w:tcPr>
          <w:p w:rsidR="00A3381A" w:rsidRDefault="00A3381A" w:rsidP="005A1C3B">
            <w:pPr>
              <w:pStyle w:val="Tabletext"/>
              <w:tabs>
                <w:tab w:val="decimal" w:pos="822"/>
              </w:tabs>
              <w:rPr>
                <w:rFonts w:eastAsia="Calibri"/>
              </w:rPr>
            </w:pPr>
            <w:r>
              <w:rPr>
                <w:rFonts w:eastAsia="Calibri"/>
              </w:rPr>
              <w:t>17</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1.5</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Receptionists</w:t>
            </w:r>
          </w:p>
        </w:tc>
        <w:tc>
          <w:tcPr>
            <w:tcW w:w="1701" w:type="dxa"/>
          </w:tcPr>
          <w:p w:rsidR="00A3381A" w:rsidRDefault="00A3381A" w:rsidP="005A1C3B">
            <w:pPr>
              <w:pStyle w:val="Tabletext"/>
              <w:tabs>
                <w:tab w:val="decimal" w:pos="822"/>
              </w:tabs>
              <w:rPr>
                <w:rFonts w:eastAsia="Calibri"/>
              </w:rPr>
            </w:pPr>
            <w:r>
              <w:rPr>
                <w:rFonts w:eastAsia="Calibri"/>
              </w:rPr>
              <w:t>17</w:t>
            </w:r>
          </w:p>
        </w:tc>
        <w:tc>
          <w:tcPr>
            <w:tcW w:w="2410" w:type="dxa"/>
            <w:shd w:val="clear" w:color="auto" w:fill="auto"/>
          </w:tcPr>
          <w:p w:rsidR="00A3381A" w:rsidRDefault="00A3381A" w:rsidP="005A1C3B">
            <w:pPr>
              <w:pStyle w:val="Tabletext"/>
              <w:tabs>
                <w:tab w:val="decimal" w:pos="1021"/>
              </w:tabs>
              <w:rPr>
                <w:rFonts w:eastAsia="Calibri"/>
              </w:rPr>
            </w:pPr>
            <w:r>
              <w:rPr>
                <w:rFonts w:eastAsia="Calibri"/>
              </w:rPr>
              <w:t>1.5</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 xml:space="preserve">Call or </w:t>
            </w:r>
            <w:r w:rsidR="00582D3A" w:rsidRPr="00537B90">
              <w:rPr>
                <w:rFonts w:eastAsia="Calibri"/>
              </w:rPr>
              <w:t>contact centre workers</w:t>
            </w:r>
          </w:p>
        </w:tc>
        <w:tc>
          <w:tcPr>
            <w:tcW w:w="1701" w:type="dxa"/>
          </w:tcPr>
          <w:p w:rsidR="00A3381A" w:rsidRDefault="00A3381A" w:rsidP="005A1C3B">
            <w:pPr>
              <w:pStyle w:val="Tabletext"/>
              <w:tabs>
                <w:tab w:val="decimal" w:pos="822"/>
              </w:tabs>
              <w:rPr>
                <w:rFonts w:eastAsia="Calibri"/>
              </w:rPr>
            </w:pPr>
            <w:r>
              <w:rPr>
                <w:rFonts w:eastAsia="Calibri"/>
              </w:rPr>
              <w:t>17</w:t>
            </w:r>
          </w:p>
        </w:tc>
        <w:tc>
          <w:tcPr>
            <w:tcW w:w="2410" w:type="dxa"/>
            <w:shd w:val="clear" w:color="auto" w:fill="auto"/>
          </w:tcPr>
          <w:p w:rsidR="00A3381A" w:rsidRDefault="00A3381A" w:rsidP="005A1C3B">
            <w:pPr>
              <w:pStyle w:val="Tabletext"/>
              <w:tabs>
                <w:tab w:val="decimal" w:pos="1021"/>
              </w:tabs>
              <w:rPr>
                <w:rFonts w:eastAsia="Calibri"/>
              </w:rPr>
            </w:pPr>
            <w:r>
              <w:rPr>
                <w:rFonts w:eastAsia="Calibri"/>
              </w:rPr>
              <w:t>1.5</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 xml:space="preserve">Nursing </w:t>
            </w:r>
            <w:r w:rsidR="00582D3A" w:rsidRPr="00537B90">
              <w:rPr>
                <w:rFonts w:eastAsia="Calibri"/>
              </w:rPr>
              <w:t>support and personal care workers</w:t>
            </w:r>
          </w:p>
        </w:tc>
        <w:tc>
          <w:tcPr>
            <w:tcW w:w="1701" w:type="dxa"/>
          </w:tcPr>
          <w:p w:rsidR="00A3381A" w:rsidRPr="00E5745D" w:rsidRDefault="00A3381A" w:rsidP="005A1C3B">
            <w:pPr>
              <w:pStyle w:val="Tabletext"/>
              <w:tabs>
                <w:tab w:val="decimal" w:pos="822"/>
              </w:tabs>
              <w:rPr>
                <w:rFonts w:eastAsia="Calibri"/>
              </w:rPr>
            </w:pPr>
            <w:r>
              <w:rPr>
                <w:rFonts w:eastAsia="Calibri"/>
              </w:rPr>
              <w:t>17</w:t>
            </w:r>
          </w:p>
        </w:tc>
        <w:tc>
          <w:tcPr>
            <w:tcW w:w="2410" w:type="dxa"/>
            <w:shd w:val="clear" w:color="auto" w:fill="auto"/>
          </w:tcPr>
          <w:p w:rsidR="00A3381A" w:rsidRPr="00E5745D" w:rsidRDefault="00A3381A" w:rsidP="005A1C3B">
            <w:pPr>
              <w:pStyle w:val="Tabletext"/>
              <w:tabs>
                <w:tab w:val="decimal" w:pos="1021"/>
              </w:tabs>
              <w:rPr>
                <w:rFonts w:eastAsia="Calibri"/>
              </w:rPr>
            </w:pPr>
            <w:r>
              <w:rPr>
                <w:rFonts w:eastAsia="Calibri"/>
              </w:rPr>
              <w:t>1.5</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 xml:space="preserve">Advertising and </w:t>
            </w:r>
            <w:r w:rsidR="00582D3A" w:rsidRPr="00537B90">
              <w:rPr>
                <w:rFonts w:eastAsia="Calibri"/>
              </w:rPr>
              <w:t>marketing professionals</w:t>
            </w:r>
          </w:p>
        </w:tc>
        <w:tc>
          <w:tcPr>
            <w:tcW w:w="1701" w:type="dxa"/>
          </w:tcPr>
          <w:p w:rsidR="00A3381A" w:rsidRDefault="00A3381A" w:rsidP="005A1C3B">
            <w:pPr>
              <w:pStyle w:val="Tabletext"/>
              <w:tabs>
                <w:tab w:val="decimal" w:pos="822"/>
              </w:tabs>
              <w:rPr>
                <w:rFonts w:eastAsia="Calibri"/>
              </w:rPr>
            </w:pPr>
            <w:r>
              <w:rPr>
                <w:rFonts w:eastAsia="Calibri"/>
              </w:rPr>
              <w:t>16</w:t>
            </w:r>
          </w:p>
        </w:tc>
        <w:tc>
          <w:tcPr>
            <w:tcW w:w="2410" w:type="dxa"/>
            <w:shd w:val="clear" w:color="auto" w:fill="auto"/>
          </w:tcPr>
          <w:p w:rsidR="00A3381A" w:rsidRDefault="00A3381A" w:rsidP="005A1C3B">
            <w:pPr>
              <w:pStyle w:val="Tabletext"/>
              <w:tabs>
                <w:tab w:val="decimal" w:pos="1021"/>
              </w:tabs>
              <w:rPr>
                <w:rFonts w:eastAsia="Calibri"/>
              </w:rPr>
            </w:pPr>
            <w:r>
              <w:rPr>
                <w:rFonts w:eastAsia="Calibri"/>
              </w:rPr>
              <w:t>1.4</w:t>
            </w:r>
          </w:p>
        </w:tc>
      </w:tr>
      <w:tr w:rsidR="00A3381A" w:rsidRPr="00E5745D" w:rsidTr="005A1C3B">
        <w:tc>
          <w:tcPr>
            <w:tcW w:w="4678" w:type="dxa"/>
            <w:shd w:val="clear" w:color="auto" w:fill="auto"/>
          </w:tcPr>
          <w:p w:rsidR="00A3381A" w:rsidRPr="00537B90" w:rsidRDefault="00A3381A" w:rsidP="005A1C3B">
            <w:pPr>
              <w:pStyle w:val="Tabletext"/>
              <w:rPr>
                <w:rFonts w:eastAsia="Calibri"/>
              </w:rPr>
            </w:pPr>
            <w:r w:rsidRPr="00537B90">
              <w:rPr>
                <w:rFonts w:eastAsia="Calibri"/>
              </w:rPr>
              <w:t>Accounting clerks</w:t>
            </w:r>
          </w:p>
        </w:tc>
        <w:tc>
          <w:tcPr>
            <w:tcW w:w="1701" w:type="dxa"/>
          </w:tcPr>
          <w:p w:rsidR="00A3381A" w:rsidRDefault="00A3381A" w:rsidP="005A1C3B">
            <w:pPr>
              <w:pStyle w:val="Tabletext"/>
              <w:tabs>
                <w:tab w:val="decimal" w:pos="822"/>
              </w:tabs>
              <w:rPr>
                <w:rFonts w:eastAsia="Calibri"/>
              </w:rPr>
            </w:pPr>
            <w:r>
              <w:rPr>
                <w:rFonts w:eastAsia="Calibri"/>
              </w:rPr>
              <w:t>15</w:t>
            </w:r>
          </w:p>
        </w:tc>
        <w:tc>
          <w:tcPr>
            <w:tcW w:w="2410" w:type="dxa"/>
            <w:shd w:val="clear" w:color="auto" w:fill="auto"/>
          </w:tcPr>
          <w:p w:rsidR="00A3381A" w:rsidRDefault="00A3381A" w:rsidP="005A1C3B">
            <w:pPr>
              <w:pStyle w:val="Tabletext"/>
              <w:tabs>
                <w:tab w:val="decimal" w:pos="1021"/>
              </w:tabs>
              <w:rPr>
                <w:rFonts w:eastAsia="Calibri"/>
              </w:rPr>
            </w:pPr>
            <w:r>
              <w:rPr>
                <w:rFonts w:eastAsia="Calibri"/>
              </w:rPr>
              <w:t>1.4</w:t>
            </w:r>
          </w:p>
        </w:tc>
      </w:tr>
      <w:tr w:rsidR="00A3381A" w:rsidRPr="00E5745D" w:rsidTr="005A1C3B">
        <w:tc>
          <w:tcPr>
            <w:tcW w:w="4678" w:type="dxa"/>
            <w:tcBorders>
              <w:bottom w:val="single" w:sz="4" w:space="0" w:color="auto"/>
            </w:tcBorders>
            <w:shd w:val="clear" w:color="auto" w:fill="auto"/>
          </w:tcPr>
          <w:p w:rsidR="00A3381A" w:rsidRPr="00537B90" w:rsidRDefault="00A3381A" w:rsidP="005A1C3B">
            <w:pPr>
              <w:pStyle w:val="Tabletext"/>
              <w:rPr>
                <w:rFonts w:eastAsia="Calibri"/>
              </w:rPr>
            </w:pPr>
            <w:r w:rsidRPr="00537B90">
              <w:rPr>
                <w:rFonts w:eastAsia="Calibri"/>
              </w:rPr>
              <w:t xml:space="preserve">Human </w:t>
            </w:r>
            <w:r w:rsidR="00582D3A" w:rsidRPr="00537B90">
              <w:rPr>
                <w:rFonts w:eastAsia="Calibri"/>
              </w:rPr>
              <w:t>resource professionals</w:t>
            </w:r>
          </w:p>
        </w:tc>
        <w:tc>
          <w:tcPr>
            <w:tcW w:w="1701" w:type="dxa"/>
            <w:tcBorders>
              <w:bottom w:val="single" w:sz="4" w:space="0" w:color="auto"/>
            </w:tcBorders>
          </w:tcPr>
          <w:p w:rsidR="00A3381A" w:rsidRDefault="00A3381A" w:rsidP="005A1C3B">
            <w:pPr>
              <w:pStyle w:val="Tabletext"/>
              <w:tabs>
                <w:tab w:val="decimal" w:pos="822"/>
              </w:tabs>
              <w:rPr>
                <w:rFonts w:eastAsia="Calibri"/>
              </w:rPr>
            </w:pPr>
            <w:r>
              <w:rPr>
                <w:rFonts w:eastAsia="Calibri"/>
              </w:rPr>
              <w:t>14</w:t>
            </w:r>
          </w:p>
        </w:tc>
        <w:tc>
          <w:tcPr>
            <w:tcW w:w="2410" w:type="dxa"/>
            <w:tcBorders>
              <w:bottom w:val="single" w:sz="4" w:space="0" w:color="auto"/>
            </w:tcBorders>
            <w:shd w:val="clear" w:color="auto" w:fill="auto"/>
          </w:tcPr>
          <w:p w:rsidR="00A3381A" w:rsidRDefault="00A3381A" w:rsidP="005A1C3B">
            <w:pPr>
              <w:pStyle w:val="Tabletext"/>
              <w:tabs>
                <w:tab w:val="decimal" w:pos="1021"/>
              </w:tabs>
              <w:rPr>
                <w:rFonts w:eastAsia="Calibri"/>
              </w:rPr>
            </w:pPr>
            <w:r>
              <w:rPr>
                <w:rFonts w:eastAsia="Calibri"/>
              </w:rPr>
              <w:t>1.3</w:t>
            </w:r>
          </w:p>
        </w:tc>
      </w:tr>
    </w:tbl>
    <w:p w:rsidR="00056E13" w:rsidRPr="005A1C3B" w:rsidRDefault="00056E13" w:rsidP="005A1C3B">
      <w:pPr>
        <w:pStyle w:val="Source"/>
        <w:rPr>
          <w:rFonts w:eastAsia="Calibri"/>
        </w:rPr>
      </w:pPr>
      <w:r>
        <w:rPr>
          <w:rFonts w:eastAsia="Calibri"/>
        </w:rPr>
        <w:t>Note:</w:t>
      </w:r>
      <w:r w:rsidR="005A1C3B">
        <w:rPr>
          <w:rFonts w:eastAsia="Calibri"/>
        </w:rPr>
        <w:tab/>
      </w:r>
      <w:r>
        <w:rPr>
          <w:rFonts w:eastAsia="Calibri"/>
        </w:rPr>
        <w:t xml:space="preserve">This table only includes those </w:t>
      </w:r>
      <w:r w:rsidRPr="005A1C3B">
        <w:rPr>
          <w:rFonts w:eastAsia="Calibri"/>
        </w:rPr>
        <w:t>students who were present in both the 1999 and 2009 surveys.</w:t>
      </w:r>
      <w:r w:rsidR="00EE5442" w:rsidRPr="005A1C3B">
        <w:rPr>
          <w:rFonts w:eastAsia="Calibri"/>
        </w:rPr>
        <w:t xml:space="preserve"> Total sample size = 1108.</w:t>
      </w:r>
    </w:p>
    <w:p w:rsidR="00A3381A" w:rsidRDefault="005A1C3B" w:rsidP="005A1C3B">
      <w:pPr>
        <w:pStyle w:val="Source"/>
        <w:rPr>
          <w:rFonts w:eastAsia="Calibri"/>
        </w:rPr>
      </w:pPr>
      <w:r>
        <w:rPr>
          <w:rFonts w:eastAsia="Calibri"/>
        </w:rPr>
        <w:t>Source:</w:t>
      </w:r>
      <w:r>
        <w:rPr>
          <w:rFonts w:eastAsia="Calibri"/>
        </w:rPr>
        <w:tab/>
      </w:r>
      <w:r w:rsidR="00E61E35" w:rsidRPr="005A1C3B">
        <w:rPr>
          <w:rFonts w:eastAsia="Calibri"/>
        </w:rPr>
        <w:t>LSAY 19</w:t>
      </w:r>
      <w:r w:rsidR="00A3381A" w:rsidRPr="005A1C3B">
        <w:rPr>
          <w:rFonts w:eastAsia="Calibri"/>
        </w:rPr>
        <w:t>98 cohort, 1999 survey</w:t>
      </w:r>
      <w:r w:rsidR="00A3381A" w:rsidRPr="00E5745D">
        <w:rPr>
          <w:rFonts w:eastAsia="Calibri"/>
        </w:rPr>
        <w:t xml:space="preserve">, weighted estimates. </w:t>
      </w:r>
    </w:p>
    <w:p w:rsidR="009B7EDD" w:rsidRDefault="00E61E35" w:rsidP="005A1C3B">
      <w:pPr>
        <w:pStyle w:val="Textmorebefore"/>
        <w:rPr>
          <w:rFonts w:eastAsia="Calibri"/>
        </w:rPr>
      </w:pPr>
      <w:r>
        <w:rPr>
          <w:rFonts w:eastAsia="Calibri"/>
        </w:rPr>
        <w:t>When c</w:t>
      </w:r>
      <w:r w:rsidR="009B7EDD">
        <w:rPr>
          <w:rFonts w:eastAsia="Calibri"/>
        </w:rPr>
        <w:t xml:space="preserve">omparing </w:t>
      </w:r>
      <w:r>
        <w:rPr>
          <w:rFonts w:eastAsia="Calibri"/>
        </w:rPr>
        <w:t xml:space="preserve">actual occupational outcomes at age 25 </w:t>
      </w:r>
      <w:r w:rsidR="00056E13">
        <w:rPr>
          <w:rFonts w:eastAsia="Calibri"/>
        </w:rPr>
        <w:t xml:space="preserve">years </w:t>
      </w:r>
      <w:r>
        <w:rPr>
          <w:rFonts w:eastAsia="Calibri"/>
        </w:rPr>
        <w:t xml:space="preserve">(tables 10 </w:t>
      </w:r>
      <w:r w:rsidR="00056E13">
        <w:rPr>
          <w:rFonts w:eastAsia="Calibri"/>
        </w:rPr>
        <w:t>and</w:t>
      </w:r>
      <w:r>
        <w:rPr>
          <w:rFonts w:eastAsia="Calibri"/>
        </w:rPr>
        <w:t xml:space="preserve"> 11) with those jobs young people aspired to at age 15</w:t>
      </w:r>
      <w:r w:rsidR="00056E13">
        <w:rPr>
          <w:rFonts w:eastAsia="Calibri"/>
        </w:rPr>
        <w:t xml:space="preserve"> years</w:t>
      </w:r>
      <w:r>
        <w:rPr>
          <w:rFonts w:eastAsia="Calibri"/>
        </w:rPr>
        <w:t xml:space="preserve"> (tables 8 </w:t>
      </w:r>
      <w:r w:rsidR="00056E13">
        <w:rPr>
          <w:rFonts w:eastAsia="Calibri"/>
        </w:rPr>
        <w:t>and</w:t>
      </w:r>
      <w:r>
        <w:rPr>
          <w:rFonts w:eastAsia="Calibri"/>
        </w:rPr>
        <w:t xml:space="preserve"> 9), several differences become</w:t>
      </w:r>
      <w:r w:rsidR="009B7EDD">
        <w:rPr>
          <w:rFonts w:eastAsia="Calibri"/>
        </w:rPr>
        <w:t xml:space="preserve"> apparent. For example, sales assistants are one of the top occupations at age 25 </w:t>
      </w:r>
      <w:r w:rsidR="00056E13">
        <w:rPr>
          <w:rFonts w:eastAsia="Calibri"/>
        </w:rPr>
        <w:t xml:space="preserve">years </w:t>
      </w:r>
      <w:r w:rsidR="009B7EDD">
        <w:rPr>
          <w:rFonts w:eastAsia="Calibri"/>
        </w:rPr>
        <w:t>for both genders, but not one of the jobs commonly aspired to at age 15</w:t>
      </w:r>
      <w:r w:rsidR="00056E13">
        <w:rPr>
          <w:rFonts w:eastAsia="Calibri"/>
        </w:rPr>
        <w:t xml:space="preserve"> years</w:t>
      </w:r>
      <w:r w:rsidR="009B7EDD">
        <w:rPr>
          <w:rFonts w:eastAsia="Calibri"/>
        </w:rPr>
        <w:t>. However</w:t>
      </w:r>
      <w:r w:rsidR="00056E13">
        <w:rPr>
          <w:rFonts w:eastAsia="Calibri"/>
        </w:rPr>
        <w:t>,</w:t>
      </w:r>
      <w:r w:rsidR="009B7EDD">
        <w:rPr>
          <w:rFonts w:eastAsia="Calibri"/>
        </w:rPr>
        <w:t xml:space="preserve"> it must be remembered that at age 25 </w:t>
      </w:r>
      <w:r w:rsidR="00056E13">
        <w:rPr>
          <w:rFonts w:eastAsia="Calibri"/>
        </w:rPr>
        <w:t xml:space="preserve">years </w:t>
      </w:r>
      <w:r w:rsidR="009B7EDD">
        <w:rPr>
          <w:rFonts w:eastAsia="Calibri"/>
        </w:rPr>
        <w:t>participants may not yet have completed their studies</w:t>
      </w:r>
      <w:r w:rsidR="002047CD">
        <w:rPr>
          <w:rFonts w:eastAsia="Calibri"/>
        </w:rPr>
        <w:t xml:space="preserve"> and </w:t>
      </w:r>
      <w:r w:rsidR="005F5546">
        <w:rPr>
          <w:rFonts w:eastAsia="Calibri"/>
        </w:rPr>
        <w:t>may be working</w:t>
      </w:r>
      <w:r w:rsidR="002047CD">
        <w:rPr>
          <w:rFonts w:eastAsia="Calibri"/>
        </w:rPr>
        <w:t xml:space="preserve"> in retail to support themselves while completing their tertiary education</w:t>
      </w:r>
      <w:r w:rsidR="009B7EDD">
        <w:rPr>
          <w:rFonts w:eastAsia="Calibri"/>
        </w:rPr>
        <w:t xml:space="preserve">. This and other limitations </w:t>
      </w:r>
      <w:r w:rsidR="002047CD">
        <w:rPr>
          <w:rFonts w:eastAsia="Calibri"/>
        </w:rPr>
        <w:t xml:space="preserve">in the data </w:t>
      </w:r>
      <w:r w:rsidR="009B7EDD">
        <w:rPr>
          <w:rFonts w:eastAsia="Calibri"/>
        </w:rPr>
        <w:t xml:space="preserve">are </w:t>
      </w:r>
      <w:r w:rsidR="00A82DF7">
        <w:rPr>
          <w:rFonts w:eastAsia="Calibri"/>
        </w:rPr>
        <w:t>discussed</w:t>
      </w:r>
      <w:r w:rsidR="007969A0">
        <w:rPr>
          <w:rFonts w:eastAsia="Calibri"/>
        </w:rPr>
        <w:t xml:space="preserve"> in more detail</w:t>
      </w:r>
      <w:r w:rsidR="00A82DF7">
        <w:rPr>
          <w:rFonts w:eastAsia="Calibri"/>
        </w:rPr>
        <w:t xml:space="preserve"> later.</w:t>
      </w:r>
    </w:p>
    <w:p w:rsidR="00B57531" w:rsidRDefault="00B57531" w:rsidP="00B57531">
      <w:pPr>
        <w:pStyle w:val="Heading2"/>
        <w:rPr>
          <w:rFonts w:eastAsia="Calibri"/>
        </w:rPr>
      </w:pPr>
      <w:bookmarkStart w:id="82" w:name="_Toc380048251"/>
      <w:r>
        <w:rPr>
          <w:rFonts w:eastAsia="Calibri"/>
        </w:rPr>
        <w:lastRenderedPageBreak/>
        <w:t>Do you</w:t>
      </w:r>
      <w:r w:rsidR="00D665CB">
        <w:rPr>
          <w:rFonts w:eastAsia="Calibri"/>
        </w:rPr>
        <w:t>ng</w:t>
      </w:r>
      <w:r>
        <w:rPr>
          <w:rFonts w:eastAsia="Calibri"/>
        </w:rPr>
        <w:t xml:space="preserve"> people achieve their aspirations</w:t>
      </w:r>
      <w:r w:rsidRPr="007452DD">
        <w:rPr>
          <w:rFonts w:eastAsia="Calibri"/>
        </w:rPr>
        <w:t>?</w:t>
      </w:r>
      <w:bookmarkEnd w:id="82"/>
    </w:p>
    <w:p w:rsidR="00377D20" w:rsidRDefault="00A3381A" w:rsidP="0044396D">
      <w:pPr>
        <w:pStyle w:val="Text"/>
        <w:rPr>
          <w:rFonts w:ascii="Tahoma" w:hAnsi="Tahoma"/>
          <w:b/>
          <w:sz w:val="17"/>
        </w:rPr>
      </w:pPr>
      <w:r>
        <w:rPr>
          <w:rFonts w:eastAsia="Calibri"/>
        </w:rPr>
        <w:t xml:space="preserve">The examples </w:t>
      </w:r>
      <w:r w:rsidR="00056E13">
        <w:rPr>
          <w:rFonts w:eastAsia="Calibri"/>
        </w:rPr>
        <w:t xml:space="preserve">above </w:t>
      </w:r>
      <w:r>
        <w:rPr>
          <w:rFonts w:eastAsia="Calibri"/>
        </w:rPr>
        <w:t>give a flavour of the jobs that young people aspired to, and the jobs that they actually acquired at age 25</w:t>
      </w:r>
      <w:r w:rsidR="00056E13">
        <w:rPr>
          <w:rFonts w:eastAsia="Calibri"/>
        </w:rPr>
        <w:t xml:space="preserve"> years</w:t>
      </w:r>
      <w:r>
        <w:rPr>
          <w:rFonts w:eastAsia="Calibri"/>
        </w:rPr>
        <w:t xml:space="preserve">. However, in order to compare aspirations with achievements </w:t>
      </w:r>
      <w:r w:rsidR="00C64242">
        <w:rPr>
          <w:rFonts w:eastAsia="Calibri"/>
        </w:rPr>
        <w:t>coherently,</w:t>
      </w:r>
      <w:r>
        <w:rPr>
          <w:rFonts w:eastAsia="Calibri"/>
        </w:rPr>
        <w:t xml:space="preserve"> it is necessary to examine the changes to the distribution of jobs (from aspirations to actual). This is accomplished by using</w:t>
      </w:r>
      <w:r>
        <w:t xml:space="preserve"> </w:t>
      </w:r>
      <w:r w:rsidR="00C64242">
        <w:t xml:space="preserve">the </w:t>
      </w:r>
      <w:r>
        <w:t>occupational status scores developed at the Australian National University. These scales, the Australian Socioeconomic Index 2006 (McMillan et al. 2009) and the ANU4 scale</w:t>
      </w:r>
      <w:r w:rsidR="00056E13">
        <w:t>,</w:t>
      </w:r>
      <w:r>
        <w:rPr>
          <w:rStyle w:val="FootnoteReference"/>
        </w:rPr>
        <w:footnoteReference w:id="15"/>
      </w:r>
      <w:r>
        <w:t xml:space="preserve"> recode occupational codes into a continuous scale reflecting</w:t>
      </w:r>
      <w:r w:rsidR="0019355C">
        <w:t xml:space="preserve"> occupational status. In particular, the status scores reflect qualifications and income, which are taken to be the principal </w:t>
      </w:r>
      <w:r w:rsidR="0044396D">
        <w:t>drivers of occupational status</w:t>
      </w:r>
      <w:r w:rsidR="00056E13">
        <w:t>.</w:t>
      </w:r>
      <w:r w:rsidR="0044396D">
        <w:rPr>
          <w:rStyle w:val="FootnoteReference"/>
        </w:rPr>
        <w:footnoteReference w:id="16"/>
      </w:r>
      <w:r w:rsidR="0044396D">
        <w:t xml:space="preserve"> </w:t>
      </w:r>
      <w:r w:rsidRPr="003E3887">
        <w:t xml:space="preserve">A selection of jobs and their corresponding </w:t>
      </w:r>
      <w:r w:rsidR="003E3887" w:rsidRPr="003E3887">
        <w:t>ANU4</w:t>
      </w:r>
      <w:r w:rsidR="00377D20">
        <w:t xml:space="preserve"> scores is given in table </w:t>
      </w:r>
      <w:r w:rsidR="00C7109F">
        <w:t>1</w:t>
      </w:r>
      <w:r w:rsidR="00EB3ECD">
        <w:t>2</w:t>
      </w:r>
      <w:r w:rsidR="00377D20">
        <w:t>.</w:t>
      </w:r>
      <w:bookmarkStart w:id="83" w:name="_Toc296497393"/>
      <w:bookmarkStart w:id="84" w:name="_Toc369090788"/>
    </w:p>
    <w:p w:rsidR="005A1C3B" w:rsidRDefault="005A1C3B" w:rsidP="005A1C3B">
      <w:pPr>
        <w:pStyle w:val="Text"/>
        <w:rPr>
          <w:rFonts w:eastAsia="Calibri"/>
        </w:rPr>
      </w:pPr>
      <w:r>
        <w:rPr>
          <w:rFonts w:eastAsia="Calibri"/>
        </w:rPr>
        <w:t>As a first pass, the overall distributions of the jobs aspired to at age 15 years were explored against the jobs actually held at age 25 years. To do this, the AUSEI06 and ANU4 scal</w:t>
      </w:r>
      <w:r w:rsidRPr="00956FE9">
        <w:rPr>
          <w:rFonts w:eastAsia="Calibri"/>
        </w:rPr>
        <w:t xml:space="preserve">es </w:t>
      </w:r>
      <w:r>
        <w:rPr>
          <w:rFonts w:eastAsia="Calibri"/>
        </w:rPr>
        <w:t>were</w:t>
      </w:r>
      <w:r w:rsidRPr="00956FE9">
        <w:rPr>
          <w:rFonts w:eastAsia="Calibri"/>
        </w:rPr>
        <w:t xml:space="preserve"> divided </w:t>
      </w:r>
      <w:r>
        <w:rPr>
          <w:rFonts w:eastAsia="Calibri"/>
        </w:rPr>
        <w:t xml:space="preserve">into </w:t>
      </w:r>
      <w:r w:rsidRPr="00956FE9">
        <w:rPr>
          <w:rFonts w:eastAsia="Calibri"/>
        </w:rPr>
        <w:t>deciles, where decile 1 represents jobs with the lowest occupational status</w:t>
      </w:r>
      <w:r>
        <w:rPr>
          <w:rFonts w:eastAsia="Calibri"/>
        </w:rPr>
        <w:t xml:space="preserve"> (status scores of less than ten)</w:t>
      </w:r>
      <w:r w:rsidRPr="00956FE9">
        <w:rPr>
          <w:rFonts w:eastAsia="Calibri"/>
        </w:rPr>
        <w:t>, and decile 10 represents jobs with the highest occupational status</w:t>
      </w:r>
      <w:r>
        <w:rPr>
          <w:rFonts w:eastAsia="Calibri"/>
        </w:rPr>
        <w:t xml:space="preserve"> (status scores of 90 or above).</w:t>
      </w:r>
    </w:p>
    <w:p w:rsidR="00425FF0" w:rsidRPr="00425FF0" w:rsidRDefault="00425FF0" w:rsidP="00425FF0">
      <w:pPr>
        <w:pStyle w:val="Text"/>
      </w:pPr>
      <w:r w:rsidRPr="00425FF0">
        <w:t>Figures 4 and 5 plot the distribution of jobs aspired to at age 15 years versus the distribution, in deciles, of jobs held about a decade later, for males and females, respectively. Comparing the black bars across figures 4 and 5 shows that females generally aim for higher-status jobs than males</w:t>
      </w:r>
      <w:r w:rsidR="00DF6F4A">
        <w:t>:</w:t>
      </w:r>
      <w:r w:rsidRPr="00425FF0">
        <w:t xml:space="preserve"> at age 15 years, </w:t>
      </w:r>
      <w:r w:rsidR="00534E40">
        <w:t>19%</w:t>
      </w:r>
      <w:r w:rsidRPr="00425FF0">
        <w:t xml:space="preserve"> of females aspired to jobs in the highest decile, compared with 10% of males. However, this discrepancy is largely a function of the types of jobs to which males and females aspired. Jobs that appeal predominantly to males tend to have lower occupational status scores than jobs that appeal predominantly to females. For example, females are more likely to aspire to teaching, which has a status score in the 80s, whereas males are more likely to aspire to the trades, which have status scores in the 30s and 40s. </w:t>
      </w:r>
    </w:p>
    <w:p w:rsidR="00425FF0" w:rsidRPr="00425FF0" w:rsidRDefault="00425FF0" w:rsidP="00425FF0">
      <w:pPr>
        <w:pStyle w:val="Text"/>
      </w:pPr>
      <w:r w:rsidRPr="00425FF0">
        <w:t xml:space="preserve">Comparing the grey bars across figures 4 and 5 shows that females are more likely to hold higher-status jobs than males at age 25 years. </w:t>
      </w:r>
      <w:r w:rsidR="00534E40">
        <w:t>As seen in figure 5, 31%</w:t>
      </w:r>
      <w:r w:rsidRPr="00425FF0">
        <w:t xml:space="preserve"> of females hold jobs in the top two deciles at age 25 years, compared with only </w:t>
      </w:r>
      <w:r w:rsidR="00534E40">
        <w:t>19</w:t>
      </w:r>
      <w:r w:rsidRPr="00425FF0">
        <w:t>% of males</w:t>
      </w:r>
      <w:r w:rsidR="00534E40">
        <w:t xml:space="preserve"> (figure 4)</w:t>
      </w:r>
      <w:r w:rsidRPr="00425FF0">
        <w:t xml:space="preserve">. This is despite the fact that males are only slightly less likely than females to </w:t>
      </w:r>
      <w:r w:rsidRPr="00425FF0">
        <w:rPr>
          <w:i/>
        </w:rPr>
        <w:t>aspire</w:t>
      </w:r>
      <w:r w:rsidRPr="00425FF0">
        <w:t xml:space="preserve"> to jobs in the top two deciles (36% versus 42%). Again, this trend is related to the types of jobs males and females tend to work in. Males are more likely to work in trade occupations, which are ranked quite low on the AUSEI06 scale. Females, on the other hand, are more likely to work as teachers, which are ranked in the 80s on the AUSEI06 scale.</w:t>
      </w:r>
    </w:p>
    <w:p w:rsidR="00425FF0" w:rsidRPr="00425FF0" w:rsidRDefault="00425FF0" w:rsidP="00425FF0">
      <w:pPr>
        <w:pStyle w:val="Text"/>
        <w:rPr>
          <w:b/>
        </w:rPr>
      </w:pPr>
      <w:r w:rsidRPr="00425FF0">
        <w:br w:type="page"/>
      </w:r>
    </w:p>
    <w:p w:rsidR="00A3381A" w:rsidRDefault="00A3381A" w:rsidP="00A3381A">
      <w:pPr>
        <w:pStyle w:val="tabletitle"/>
      </w:pPr>
      <w:bookmarkStart w:id="85" w:name="_Toc377396989"/>
      <w:r>
        <w:lastRenderedPageBreak/>
        <w:t xml:space="preserve">Table </w:t>
      </w:r>
      <w:r w:rsidR="00C7109F">
        <w:t>1</w:t>
      </w:r>
      <w:r w:rsidR="00EB3ECD">
        <w:t>2</w:t>
      </w:r>
      <w:r>
        <w:tab/>
      </w:r>
      <w:bookmarkEnd w:id="83"/>
      <w:r>
        <w:t>Selected occupations according to the ANU4 occupational scale</w:t>
      </w:r>
      <w:bookmarkEnd w:id="84"/>
      <w:bookmarkEnd w:id="85"/>
    </w:p>
    <w:tbl>
      <w:tblPr>
        <w:tblW w:w="6521" w:type="dxa"/>
        <w:tblInd w:w="108" w:type="dxa"/>
        <w:tblBorders>
          <w:top w:val="single" w:sz="4" w:space="0" w:color="auto"/>
          <w:bottom w:val="single" w:sz="4" w:space="0" w:color="auto"/>
        </w:tblBorders>
        <w:tblLayout w:type="fixed"/>
        <w:tblLook w:val="0000" w:firstRow="0" w:lastRow="0" w:firstColumn="0" w:lastColumn="0" w:noHBand="0" w:noVBand="0"/>
      </w:tblPr>
      <w:tblGrid>
        <w:gridCol w:w="4253"/>
        <w:gridCol w:w="2268"/>
      </w:tblGrid>
      <w:tr w:rsidR="00A3381A" w:rsidRPr="005A1C3B" w:rsidTr="009400F1">
        <w:trPr>
          <w:cantSplit/>
          <w:tblHeader/>
        </w:trPr>
        <w:tc>
          <w:tcPr>
            <w:tcW w:w="4253" w:type="dxa"/>
            <w:tcBorders>
              <w:top w:val="single" w:sz="4" w:space="0" w:color="auto"/>
              <w:bottom w:val="single" w:sz="4" w:space="0" w:color="auto"/>
              <w:right w:val="nil"/>
            </w:tcBorders>
          </w:tcPr>
          <w:p w:rsidR="00A3381A" w:rsidRPr="005A1C3B" w:rsidRDefault="00A3381A" w:rsidP="005A1C3B">
            <w:pPr>
              <w:pStyle w:val="Tablehead1"/>
            </w:pPr>
            <w:r w:rsidRPr="005A1C3B">
              <w:t>Occupation</w:t>
            </w:r>
            <w:r w:rsidR="005A1C3B">
              <w:br/>
            </w:r>
            <w:r w:rsidRPr="005A1C3B">
              <w:t>(ASCO 4-digit)</w:t>
            </w:r>
          </w:p>
        </w:tc>
        <w:tc>
          <w:tcPr>
            <w:tcW w:w="2268" w:type="dxa"/>
            <w:tcBorders>
              <w:top w:val="single" w:sz="4" w:space="0" w:color="auto"/>
              <w:bottom w:val="single" w:sz="4" w:space="0" w:color="auto"/>
              <w:right w:val="nil"/>
            </w:tcBorders>
          </w:tcPr>
          <w:p w:rsidR="00A3381A" w:rsidRPr="005A1C3B" w:rsidRDefault="00A3381A" w:rsidP="009400F1">
            <w:pPr>
              <w:pStyle w:val="Tablehead1"/>
              <w:jc w:val="center"/>
            </w:pPr>
            <w:r w:rsidRPr="005A1C3B">
              <w:t>Occupational status</w:t>
            </w:r>
            <w:r w:rsidR="005A1C3B">
              <w:br/>
            </w:r>
            <w:r w:rsidRPr="005A1C3B">
              <w:t>(ANU4 scale)</w:t>
            </w:r>
          </w:p>
        </w:tc>
      </w:tr>
      <w:tr w:rsidR="00A3381A" w:rsidRPr="005A1C3B" w:rsidTr="005A1C3B">
        <w:trPr>
          <w:cantSplit/>
        </w:trPr>
        <w:tc>
          <w:tcPr>
            <w:tcW w:w="4253" w:type="dxa"/>
            <w:tcBorders>
              <w:top w:val="single" w:sz="4" w:space="0" w:color="auto"/>
              <w:bottom w:val="nil"/>
              <w:right w:val="nil"/>
            </w:tcBorders>
          </w:tcPr>
          <w:p w:rsidR="00A3381A" w:rsidRPr="005A1C3B" w:rsidRDefault="00A3381A" w:rsidP="005A1C3B">
            <w:pPr>
              <w:pStyle w:val="Tabletext"/>
            </w:pPr>
            <w:r w:rsidRPr="005A1C3B">
              <w:t xml:space="preserve">2312 Specialist </w:t>
            </w:r>
            <w:r w:rsidR="00056E13" w:rsidRPr="005A1C3B">
              <w:t>medical practitioners</w:t>
            </w:r>
          </w:p>
        </w:tc>
        <w:tc>
          <w:tcPr>
            <w:tcW w:w="2268" w:type="dxa"/>
            <w:tcBorders>
              <w:top w:val="single" w:sz="4" w:space="0" w:color="auto"/>
              <w:bottom w:val="nil"/>
              <w:right w:val="nil"/>
            </w:tcBorders>
          </w:tcPr>
          <w:p w:rsidR="00A3381A" w:rsidRPr="005A1C3B" w:rsidRDefault="00A3381A" w:rsidP="009400F1">
            <w:pPr>
              <w:pStyle w:val="Tabletext"/>
              <w:tabs>
                <w:tab w:val="decimal" w:pos="1049"/>
              </w:tabs>
            </w:pPr>
            <w:r w:rsidRPr="005A1C3B">
              <w:t>100</w:t>
            </w:r>
            <w:r w:rsidR="00C53036" w:rsidRPr="005A1C3B">
              <w:t>.0</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2521 Legal </w:t>
            </w:r>
            <w:r w:rsidR="00056E13" w:rsidRPr="005A1C3B">
              <w:t>professionals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96</w:t>
            </w:r>
            <w:r w:rsidR="00C53036" w:rsidRPr="005A1C3B">
              <w:t>.0</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2421 University </w:t>
            </w:r>
            <w:r w:rsidR="00056E13" w:rsidRPr="005A1C3B">
              <w:t>lecturers and tutors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95.7</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2385 Physiotherapists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94.5</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2413 Secondary </w:t>
            </w:r>
            <w:r w:rsidR="00056E13" w:rsidRPr="005A1C3B">
              <w:t>school teachers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89.7</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2115 Medical </w:t>
            </w:r>
            <w:r w:rsidR="00056E13" w:rsidRPr="005A1C3B">
              <w:t>scientists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86.2</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2412 Primary </w:t>
            </w:r>
            <w:r w:rsidR="00056E13" w:rsidRPr="005A1C3B">
              <w:t>school teachers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84.5</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2125 Electrical and </w:t>
            </w:r>
            <w:r w:rsidR="00056E13" w:rsidRPr="005A1C3B">
              <w:t>electronics engineers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83.8</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2211 Accountants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81.4</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2293 Mathematicians</w:t>
            </w:r>
            <w:r w:rsidR="00056E13" w:rsidRPr="005A1C3B">
              <w:t>, statisticians and actuaries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79.4</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2323 Registered </w:t>
            </w:r>
            <w:r w:rsidR="00056E13" w:rsidRPr="005A1C3B">
              <w:t>nurses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75.3</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2522 Economists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74.8</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1111 Legislators and </w:t>
            </w:r>
            <w:r w:rsidR="00056E13" w:rsidRPr="005A1C3B">
              <w:t>government appointed officials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73.4</w:t>
            </w:r>
          </w:p>
        </w:tc>
      </w:tr>
      <w:tr w:rsidR="00C53036" w:rsidRPr="005A1C3B" w:rsidTr="005A1C3B">
        <w:trPr>
          <w:cantSplit/>
        </w:trPr>
        <w:tc>
          <w:tcPr>
            <w:tcW w:w="4253" w:type="dxa"/>
            <w:tcBorders>
              <w:top w:val="nil"/>
              <w:bottom w:val="nil"/>
              <w:right w:val="nil"/>
            </w:tcBorders>
          </w:tcPr>
          <w:p w:rsidR="00C53036" w:rsidRPr="005A1C3B" w:rsidRDefault="00C53036" w:rsidP="005A1C3B">
            <w:pPr>
              <w:pStyle w:val="Tabletext"/>
            </w:pPr>
            <w:r w:rsidRPr="005A1C3B">
              <w:t xml:space="preserve">1231 Sales and </w:t>
            </w:r>
            <w:r w:rsidR="00056E13" w:rsidRPr="005A1C3B">
              <w:t>marketing managers</w:t>
            </w:r>
          </w:p>
        </w:tc>
        <w:tc>
          <w:tcPr>
            <w:tcW w:w="2268" w:type="dxa"/>
            <w:tcBorders>
              <w:top w:val="nil"/>
              <w:bottom w:val="nil"/>
              <w:right w:val="nil"/>
            </w:tcBorders>
          </w:tcPr>
          <w:p w:rsidR="00C53036" w:rsidRPr="005A1C3B" w:rsidRDefault="00C53036" w:rsidP="009400F1">
            <w:pPr>
              <w:pStyle w:val="Tabletext"/>
              <w:tabs>
                <w:tab w:val="decimal" w:pos="1049"/>
              </w:tabs>
            </w:pPr>
            <w:r w:rsidRPr="005A1C3B">
              <w:t>63.2</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2537 Musicians </w:t>
            </w:r>
            <w:r w:rsidR="00056E13" w:rsidRPr="005A1C3B">
              <w:t>and related professionals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63</w:t>
            </w:r>
            <w:r w:rsidR="00C53036" w:rsidRPr="005A1C3B">
              <w:t>.0</w:t>
            </w:r>
          </w:p>
        </w:tc>
      </w:tr>
      <w:tr w:rsidR="00C53036" w:rsidRPr="005A1C3B" w:rsidTr="005A1C3B">
        <w:trPr>
          <w:cantSplit/>
        </w:trPr>
        <w:tc>
          <w:tcPr>
            <w:tcW w:w="4253" w:type="dxa"/>
            <w:tcBorders>
              <w:top w:val="nil"/>
              <w:bottom w:val="nil"/>
              <w:right w:val="nil"/>
            </w:tcBorders>
          </w:tcPr>
          <w:p w:rsidR="00C53036" w:rsidRPr="005A1C3B" w:rsidRDefault="00C53036" w:rsidP="005A1C3B">
            <w:pPr>
              <w:pStyle w:val="Tabletext"/>
            </w:pPr>
            <w:r w:rsidRPr="005A1C3B">
              <w:t xml:space="preserve">2221 Marketing and </w:t>
            </w:r>
            <w:r w:rsidR="00056E13" w:rsidRPr="005A1C3B">
              <w:t>advertising professionals</w:t>
            </w:r>
          </w:p>
        </w:tc>
        <w:tc>
          <w:tcPr>
            <w:tcW w:w="2268" w:type="dxa"/>
            <w:tcBorders>
              <w:top w:val="nil"/>
              <w:bottom w:val="nil"/>
              <w:right w:val="nil"/>
            </w:tcBorders>
          </w:tcPr>
          <w:p w:rsidR="00C53036" w:rsidRPr="005A1C3B" w:rsidRDefault="00C53036" w:rsidP="009400F1">
            <w:pPr>
              <w:pStyle w:val="Tabletext"/>
              <w:tabs>
                <w:tab w:val="decimal" w:pos="1049"/>
              </w:tabs>
            </w:pPr>
            <w:r w:rsidRPr="005A1C3B">
              <w:t>62.0</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3294 Computing </w:t>
            </w:r>
            <w:r w:rsidR="002453AA" w:rsidRPr="005A1C3B">
              <w:t>support technicians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54.6</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3911 Police </w:t>
            </w:r>
            <w:r w:rsidR="002453AA" w:rsidRPr="005A1C3B">
              <w:t>officers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48.5</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5996 Travel </w:t>
            </w:r>
            <w:r w:rsidR="002453AA" w:rsidRPr="005A1C3B">
              <w:t>attendants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47.8</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1312 Livestock </w:t>
            </w:r>
            <w:r w:rsidR="002453AA" w:rsidRPr="005A1C3B">
              <w:t>farmers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46.3</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4311 Electricians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42.8</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6141 Accounting </w:t>
            </w:r>
            <w:r w:rsidR="002453AA" w:rsidRPr="005A1C3B">
              <w:t>clerks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41.5</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3323 Hotel and </w:t>
            </w:r>
            <w:r w:rsidR="002453AA" w:rsidRPr="005A1C3B">
              <w:t>motel managers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40.5</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4431 Plumbers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40.4</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6323 Waiters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36.4</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4414 Bricklayers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35.9</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8299 Other </w:t>
            </w:r>
            <w:r w:rsidR="002453AA" w:rsidRPr="005A1C3B">
              <w:t>elementary sales workers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33.7</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4931 Hairdressers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32.8</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4922 Cabinetmakers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31.5</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6131 Receptionists </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30.1</w:t>
            </w:r>
          </w:p>
        </w:tc>
      </w:tr>
      <w:tr w:rsidR="00C53036" w:rsidRPr="005A1C3B" w:rsidTr="005A1C3B">
        <w:trPr>
          <w:cantSplit/>
        </w:trPr>
        <w:tc>
          <w:tcPr>
            <w:tcW w:w="4253" w:type="dxa"/>
            <w:tcBorders>
              <w:top w:val="nil"/>
              <w:bottom w:val="nil"/>
              <w:right w:val="nil"/>
            </w:tcBorders>
          </w:tcPr>
          <w:p w:rsidR="00C53036" w:rsidRPr="005A1C3B" w:rsidRDefault="00C53036" w:rsidP="005A1C3B">
            <w:pPr>
              <w:pStyle w:val="Tabletext"/>
            </w:pPr>
            <w:r w:rsidRPr="005A1C3B">
              <w:t>4622 Greenkeepers</w:t>
            </w:r>
          </w:p>
        </w:tc>
        <w:tc>
          <w:tcPr>
            <w:tcW w:w="2268" w:type="dxa"/>
            <w:tcBorders>
              <w:top w:val="nil"/>
              <w:bottom w:val="nil"/>
              <w:right w:val="nil"/>
            </w:tcBorders>
          </w:tcPr>
          <w:p w:rsidR="00C53036" w:rsidRPr="005A1C3B" w:rsidRDefault="00C53036" w:rsidP="009400F1">
            <w:pPr>
              <w:pStyle w:val="Tabletext"/>
              <w:tabs>
                <w:tab w:val="decimal" w:pos="1049"/>
              </w:tabs>
            </w:pPr>
            <w:r w:rsidRPr="005A1C3B">
              <w:t>28.3</w:t>
            </w:r>
          </w:p>
        </w:tc>
      </w:tr>
      <w:tr w:rsidR="00C53036" w:rsidRPr="005A1C3B" w:rsidTr="005A1C3B">
        <w:trPr>
          <w:cantSplit/>
        </w:trPr>
        <w:tc>
          <w:tcPr>
            <w:tcW w:w="4253" w:type="dxa"/>
            <w:tcBorders>
              <w:top w:val="nil"/>
              <w:bottom w:val="nil"/>
              <w:right w:val="nil"/>
            </w:tcBorders>
          </w:tcPr>
          <w:p w:rsidR="00C53036" w:rsidRPr="005A1C3B" w:rsidRDefault="00C53036" w:rsidP="005A1C3B">
            <w:pPr>
              <w:pStyle w:val="Tabletext"/>
            </w:pPr>
            <w:r w:rsidRPr="005A1C3B">
              <w:t xml:space="preserve">8211 Sales </w:t>
            </w:r>
            <w:r w:rsidR="002453AA" w:rsidRPr="005A1C3B">
              <w:t>assistants</w:t>
            </w:r>
          </w:p>
        </w:tc>
        <w:tc>
          <w:tcPr>
            <w:tcW w:w="2268" w:type="dxa"/>
            <w:tcBorders>
              <w:top w:val="nil"/>
              <w:bottom w:val="nil"/>
              <w:right w:val="nil"/>
            </w:tcBorders>
          </w:tcPr>
          <w:p w:rsidR="00C53036" w:rsidRPr="005A1C3B" w:rsidRDefault="00C53036" w:rsidP="009400F1">
            <w:pPr>
              <w:pStyle w:val="Tabletext"/>
              <w:tabs>
                <w:tab w:val="decimal" w:pos="1049"/>
              </w:tabs>
            </w:pPr>
            <w:r w:rsidRPr="005A1C3B">
              <w:t>27.4</w:t>
            </w:r>
          </w:p>
        </w:tc>
      </w:tr>
      <w:tr w:rsidR="00C53036" w:rsidRPr="005A1C3B" w:rsidTr="005A1C3B">
        <w:trPr>
          <w:cantSplit/>
        </w:trPr>
        <w:tc>
          <w:tcPr>
            <w:tcW w:w="4253" w:type="dxa"/>
            <w:tcBorders>
              <w:top w:val="nil"/>
              <w:bottom w:val="nil"/>
              <w:right w:val="nil"/>
            </w:tcBorders>
          </w:tcPr>
          <w:p w:rsidR="00C53036" w:rsidRPr="005A1C3B" w:rsidRDefault="00C53036" w:rsidP="005A1C3B">
            <w:pPr>
              <w:pStyle w:val="Tabletext"/>
            </w:pPr>
            <w:r w:rsidRPr="005A1C3B">
              <w:t xml:space="preserve">6314 Personal </w:t>
            </w:r>
            <w:r w:rsidR="002453AA" w:rsidRPr="005A1C3B">
              <w:t xml:space="preserve">care and nursing assistants </w:t>
            </w:r>
          </w:p>
        </w:tc>
        <w:tc>
          <w:tcPr>
            <w:tcW w:w="2268" w:type="dxa"/>
            <w:tcBorders>
              <w:top w:val="nil"/>
              <w:bottom w:val="nil"/>
              <w:right w:val="nil"/>
            </w:tcBorders>
          </w:tcPr>
          <w:p w:rsidR="00C53036" w:rsidRPr="005A1C3B" w:rsidRDefault="00C53036" w:rsidP="009400F1">
            <w:pPr>
              <w:pStyle w:val="Tabletext"/>
              <w:tabs>
                <w:tab w:val="decimal" w:pos="1049"/>
              </w:tabs>
            </w:pPr>
            <w:r w:rsidRPr="005A1C3B">
              <w:t>25.9</w:t>
            </w:r>
          </w:p>
        </w:tc>
      </w:tr>
      <w:tr w:rsidR="00C53036" w:rsidRPr="005A1C3B" w:rsidTr="005A1C3B">
        <w:trPr>
          <w:cantSplit/>
        </w:trPr>
        <w:tc>
          <w:tcPr>
            <w:tcW w:w="4253" w:type="dxa"/>
            <w:tcBorders>
              <w:top w:val="nil"/>
              <w:bottom w:val="nil"/>
              <w:right w:val="nil"/>
            </w:tcBorders>
          </w:tcPr>
          <w:p w:rsidR="00C53036" w:rsidRPr="005A1C3B" w:rsidRDefault="00C53036" w:rsidP="005A1C3B">
            <w:pPr>
              <w:pStyle w:val="Tabletext"/>
            </w:pPr>
            <w:r w:rsidRPr="005A1C3B">
              <w:t xml:space="preserve">4512 Bakers and </w:t>
            </w:r>
            <w:r w:rsidR="002453AA" w:rsidRPr="005A1C3B">
              <w:t>pastrycooks</w:t>
            </w:r>
          </w:p>
        </w:tc>
        <w:tc>
          <w:tcPr>
            <w:tcW w:w="2268" w:type="dxa"/>
            <w:tcBorders>
              <w:top w:val="nil"/>
              <w:bottom w:val="nil"/>
              <w:right w:val="nil"/>
            </w:tcBorders>
          </w:tcPr>
          <w:p w:rsidR="00C53036" w:rsidRPr="005A1C3B" w:rsidRDefault="00C53036" w:rsidP="009400F1">
            <w:pPr>
              <w:pStyle w:val="Tabletext"/>
              <w:tabs>
                <w:tab w:val="decimal" w:pos="1049"/>
              </w:tabs>
            </w:pPr>
            <w:r w:rsidRPr="005A1C3B">
              <w:t>24.1</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7993 Storepersons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19</w:t>
            </w:r>
            <w:r w:rsidR="00C53036" w:rsidRPr="005A1C3B">
              <w:t>.0</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9922 Nursery and </w:t>
            </w:r>
            <w:r w:rsidR="002453AA" w:rsidRPr="005A1C3B">
              <w:t>garden labourers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17.1</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7311 Truck </w:t>
            </w:r>
            <w:r w:rsidR="002453AA" w:rsidRPr="005A1C3B">
              <w:t>drivers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14</w:t>
            </w:r>
            <w:r w:rsidR="00C53036" w:rsidRPr="005A1C3B">
              <w:t>.0</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9221 Hand</w:t>
            </w:r>
            <w:r w:rsidR="002453AA" w:rsidRPr="005A1C3B">
              <w:t xml:space="preserve"> packers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9.6</w:t>
            </w:r>
          </w:p>
        </w:tc>
      </w:tr>
      <w:tr w:rsidR="00A3381A" w:rsidRPr="005A1C3B" w:rsidTr="005A1C3B">
        <w:trPr>
          <w:cantSplit/>
        </w:trPr>
        <w:tc>
          <w:tcPr>
            <w:tcW w:w="4253" w:type="dxa"/>
            <w:tcBorders>
              <w:top w:val="nil"/>
              <w:bottom w:val="nil"/>
              <w:right w:val="nil"/>
            </w:tcBorders>
          </w:tcPr>
          <w:p w:rsidR="00A3381A" w:rsidRPr="005A1C3B" w:rsidRDefault="00A3381A" w:rsidP="005A1C3B">
            <w:pPr>
              <w:pStyle w:val="Tabletext"/>
            </w:pPr>
            <w:r w:rsidRPr="005A1C3B">
              <w:t xml:space="preserve">7112 Forklift </w:t>
            </w:r>
            <w:r w:rsidR="002453AA" w:rsidRPr="005A1C3B">
              <w:t>drivers</w:t>
            </w:r>
          </w:p>
        </w:tc>
        <w:tc>
          <w:tcPr>
            <w:tcW w:w="2268" w:type="dxa"/>
            <w:tcBorders>
              <w:top w:val="nil"/>
              <w:bottom w:val="nil"/>
              <w:right w:val="nil"/>
            </w:tcBorders>
          </w:tcPr>
          <w:p w:rsidR="00A3381A" w:rsidRPr="005A1C3B" w:rsidRDefault="00A3381A" w:rsidP="009400F1">
            <w:pPr>
              <w:pStyle w:val="Tabletext"/>
              <w:tabs>
                <w:tab w:val="decimal" w:pos="1049"/>
              </w:tabs>
            </w:pPr>
            <w:r w:rsidRPr="005A1C3B">
              <w:t>7.2</w:t>
            </w:r>
          </w:p>
        </w:tc>
      </w:tr>
      <w:tr w:rsidR="00A3381A" w:rsidRPr="005A1C3B" w:rsidTr="005A1C3B">
        <w:trPr>
          <w:cantSplit/>
        </w:trPr>
        <w:tc>
          <w:tcPr>
            <w:tcW w:w="4253" w:type="dxa"/>
            <w:tcBorders>
              <w:top w:val="nil"/>
              <w:bottom w:val="single" w:sz="4" w:space="0" w:color="auto"/>
              <w:right w:val="nil"/>
            </w:tcBorders>
          </w:tcPr>
          <w:p w:rsidR="00A3381A" w:rsidRPr="005A1C3B" w:rsidRDefault="00A3381A" w:rsidP="005A1C3B">
            <w:pPr>
              <w:pStyle w:val="Tabletext"/>
            </w:pPr>
            <w:r w:rsidRPr="005A1C3B">
              <w:t xml:space="preserve">9921 Farm </w:t>
            </w:r>
            <w:r w:rsidR="002453AA" w:rsidRPr="005A1C3B">
              <w:t>hands</w:t>
            </w:r>
          </w:p>
        </w:tc>
        <w:tc>
          <w:tcPr>
            <w:tcW w:w="2268" w:type="dxa"/>
            <w:tcBorders>
              <w:top w:val="nil"/>
              <w:bottom w:val="single" w:sz="4" w:space="0" w:color="auto"/>
              <w:right w:val="nil"/>
            </w:tcBorders>
          </w:tcPr>
          <w:p w:rsidR="00A3381A" w:rsidRPr="005A1C3B" w:rsidRDefault="00A3381A" w:rsidP="009400F1">
            <w:pPr>
              <w:pStyle w:val="Tabletext"/>
              <w:tabs>
                <w:tab w:val="decimal" w:pos="1049"/>
              </w:tabs>
            </w:pPr>
            <w:r w:rsidRPr="005A1C3B">
              <w:t>0</w:t>
            </w:r>
          </w:p>
        </w:tc>
      </w:tr>
    </w:tbl>
    <w:p w:rsidR="00425FF0" w:rsidRDefault="00425FF0" w:rsidP="009400F1">
      <w:pPr>
        <w:pStyle w:val="Figuretitle"/>
        <w:rPr>
          <w:rFonts w:eastAsia="Calibri"/>
        </w:rPr>
      </w:pPr>
      <w:bookmarkStart w:id="86" w:name="_Toc377396995"/>
      <w:bookmarkEnd w:id="79"/>
    </w:p>
    <w:p w:rsidR="00425FF0" w:rsidRDefault="00425FF0">
      <w:pPr>
        <w:spacing w:before="0" w:line="240" w:lineRule="auto"/>
        <w:rPr>
          <w:rFonts w:ascii="Tahoma" w:eastAsia="Calibri" w:hAnsi="Tahoma"/>
          <w:b/>
          <w:sz w:val="17"/>
        </w:rPr>
      </w:pPr>
      <w:r>
        <w:rPr>
          <w:rFonts w:eastAsia="Calibri"/>
        </w:rPr>
        <w:br w:type="page"/>
      </w:r>
    </w:p>
    <w:p w:rsidR="009D79DE" w:rsidRDefault="00956FE9" w:rsidP="009400F1">
      <w:pPr>
        <w:pStyle w:val="Figuretitle"/>
        <w:rPr>
          <w:rFonts w:eastAsia="Calibri"/>
        </w:rPr>
      </w:pPr>
      <w:r w:rsidRPr="009D79DE">
        <w:rPr>
          <w:rFonts w:eastAsia="Calibri"/>
        </w:rPr>
        <w:lastRenderedPageBreak/>
        <w:t xml:space="preserve">Figure </w:t>
      </w:r>
      <w:r w:rsidR="00663380">
        <w:rPr>
          <w:rFonts w:eastAsia="Calibri"/>
        </w:rPr>
        <w:t>4</w:t>
      </w:r>
      <w:r w:rsidR="00486745" w:rsidRPr="009D79DE">
        <w:rPr>
          <w:rFonts w:eastAsia="Calibri"/>
        </w:rPr>
        <w:tab/>
        <w:t xml:space="preserve">Distribution of jobs aspired to versus distribution of jobs held </w:t>
      </w:r>
      <w:r w:rsidR="00EE5442">
        <w:rPr>
          <w:rFonts w:eastAsia="Calibri"/>
        </w:rPr>
        <w:t>ten</w:t>
      </w:r>
      <w:r w:rsidR="00486745" w:rsidRPr="009D79DE">
        <w:rPr>
          <w:rFonts w:eastAsia="Calibri"/>
        </w:rPr>
        <w:t xml:space="preserve"> years later, </w:t>
      </w:r>
      <w:r w:rsidR="00486745" w:rsidRPr="009400F1">
        <w:rPr>
          <w:rFonts w:eastAsia="Calibri"/>
        </w:rPr>
        <w:t>males</w:t>
      </w:r>
      <w:bookmarkEnd w:id="86"/>
    </w:p>
    <w:p w:rsidR="005E77F9" w:rsidRPr="009D79DE" w:rsidRDefault="009D79DE" w:rsidP="009400F1">
      <w:pPr>
        <w:pStyle w:val="Source"/>
        <w:spacing w:before="120"/>
      </w:pPr>
      <w:r w:rsidRPr="009400F1">
        <w:rPr>
          <w:noProof/>
          <w:lang w:eastAsia="en-AU"/>
        </w:rPr>
        <w:drawing>
          <wp:anchor distT="0" distB="0" distL="114300" distR="114300" simplePos="0" relativeHeight="251727872" behindDoc="0" locked="0" layoutInCell="1" allowOverlap="1">
            <wp:simplePos x="0" y="0"/>
            <wp:positionH relativeFrom="column">
              <wp:posOffset>20292</wp:posOffset>
            </wp:positionH>
            <wp:positionV relativeFrom="paragraph">
              <wp:posOffset>22750</wp:posOffset>
            </wp:positionV>
            <wp:extent cx="5577399" cy="3299791"/>
            <wp:effectExtent l="19050" t="0" r="4251" b="0"/>
            <wp:wrapTopAndBottom/>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5577399" cy="3299791"/>
                    </a:xfrm>
                    <a:prstGeom prst="rect">
                      <a:avLst/>
                    </a:prstGeom>
                    <a:noFill/>
                    <a:ln w="9525">
                      <a:noFill/>
                      <a:miter lim="800000"/>
                      <a:headEnd/>
                      <a:tailEnd/>
                    </a:ln>
                  </pic:spPr>
                </pic:pic>
              </a:graphicData>
            </a:graphic>
          </wp:anchor>
        </w:drawing>
      </w:r>
      <w:r w:rsidR="00FF187C" w:rsidRPr="009400F1">
        <w:t>Source</w:t>
      </w:r>
      <w:r w:rsidR="00FF187C">
        <w:t>:</w:t>
      </w:r>
      <w:r w:rsidR="009400F1">
        <w:tab/>
      </w:r>
      <w:r w:rsidR="00FF187C">
        <w:t>LSAY 19</w:t>
      </w:r>
      <w:r w:rsidR="005E77F9" w:rsidRPr="009D79DE">
        <w:t>98 cohort, 1999 and 20</w:t>
      </w:r>
      <w:r w:rsidR="00FF187C">
        <w:t>09 surveys, weighted estimates.</w:t>
      </w:r>
    </w:p>
    <w:p w:rsidR="00956FE9" w:rsidRDefault="009400F1" w:rsidP="009400F1">
      <w:pPr>
        <w:pStyle w:val="Figuretitle"/>
        <w:rPr>
          <w:rFonts w:eastAsia="Calibri"/>
        </w:rPr>
      </w:pPr>
      <w:r>
        <w:rPr>
          <w:rFonts w:eastAsia="Calibri"/>
          <w:noProof/>
          <w:lang w:eastAsia="en-AU"/>
        </w:rPr>
        <w:drawing>
          <wp:anchor distT="0" distB="0" distL="114300" distR="114300" simplePos="0" relativeHeight="251728896" behindDoc="0" locked="0" layoutInCell="1" allowOverlap="1">
            <wp:simplePos x="0" y="0"/>
            <wp:positionH relativeFrom="column">
              <wp:posOffset>12065</wp:posOffset>
            </wp:positionH>
            <wp:positionV relativeFrom="paragraph">
              <wp:posOffset>476885</wp:posOffset>
            </wp:positionV>
            <wp:extent cx="5570220" cy="3299460"/>
            <wp:effectExtent l="19050" t="0" r="0" b="0"/>
            <wp:wrapTopAndBottom/>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5570220" cy="3299460"/>
                    </a:xfrm>
                    <a:prstGeom prst="rect">
                      <a:avLst/>
                    </a:prstGeom>
                    <a:noFill/>
                    <a:ln w="9525">
                      <a:noFill/>
                      <a:miter lim="800000"/>
                      <a:headEnd/>
                      <a:tailEnd/>
                    </a:ln>
                  </pic:spPr>
                </pic:pic>
              </a:graphicData>
            </a:graphic>
          </wp:anchor>
        </w:drawing>
      </w:r>
      <w:bookmarkStart w:id="87" w:name="_Toc377396996"/>
      <w:r w:rsidR="009B7EDD">
        <w:rPr>
          <w:rFonts w:eastAsia="Calibri"/>
        </w:rPr>
        <w:t xml:space="preserve">Figure </w:t>
      </w:r>
      <w:r w:rsidR="00663380">
        <w:rPr>
          <w:rFonts w:eastAsia="Calibri"/>
        </w:rPr>
        <w:t>5</w:t>
      </w:r>
      <w:r w:rsidR="00956FE9">
        <w:rPr>
          <w:rFonts w:eastAsia="Calibri"/>
        </w:rPr>
        <w:tab/>
        <w:t xml:space="preserve">Distribution of jobs aspired to versus distribution of jobs held </w:t>
      </w:r>
      <w:r w:rsidR="00EE5442">
        <w:rPr>
          <w:rFonts w:eastAsia="Calibri"/>
        </w:rPr>
        <w:t>ten</w:t>
      </w:r>
      <w:r w:rsidR="00956FE9">
        <w:rPr>
          <w:rFonts w:eastAsia="Calibri"/>
        </w:rPr>
        <w:t xml:space="preserve"> years later, females</w:t>
      </w:r>
      <w:bookmarkEnd w:id="87"/>
      <w:r w:rsidR="00956FE9">
        <w:rPr>
          <w:rFonts w:eastAsia="Calibri"/>
        </w:rPr>
        <w:t xml:space="preserve"> </w:t>
      </w:r>
    </w:p>
    <w:p w:rsidR="005E77F9" w:rsidRDefault="00FF187C" w:rsidP="009400F1">
      <w:pPr>
        <w:pStyle w:val="Source"/>
        <w:spacing w:before="120"/>
      </w:pPr>
      <w:r>
        <w:t>Source:</w:t>
      </w:r>
      <w:r w:rsidR="009400F1">
        <w:tab/>
      </w:r>
      <w:r>
        <w:t>LSAY 19</w:t>
      </w:r>
      <w:r w:rsidR="005E77F9" w:rsidRPr="00863D26">
        <w:t>98</w:t>
      </w:r>
      <w:r w:rsidR="005E77F9">
        <w:t xml:space="preserve"> cohort, 1999 and 2009 surveys, weighted estimates.</w:t>
      </w:r>
      <w:r w:rsidR="005E77F9" w:rsidRPr="00FC54BE">
        <w:t xml:space="preserve"> </w:t>
      </w:r>
    </w:p>
    <w:p w:rsidR="006A41E6" w:rsidRDefault="006A41E6" w:rsidP="006A41E6">
      <w:pPr>
        <w:pStyle w:val="Heading2"/>
        <w:rPr>
          <w:rFonts w:eastAsia="Calibri"/>
        </w:rPr>
      </w:pPr>
      <w:bookmarkStart w:id="88" w:name="_Toc380048252"/>
      <w:bookmarkStart w:id="89" w:name="_Toc358211524"/>
      <w:r>
        <w:rPr>
          <w:rFonts w:eastAsia="Calibri"/>
        </w:rPr>
        <w:t>Who ends up in which jobs?</w:t>
      </w:r>
      <w:bookmarkEnd w:id="88"/>
    </w:p>
    <w:bookmarkEnd w:id="89"/>
    <w:p w:rsidR="005A4DA2" w:rsidRDefault="005E77F9" w:rsidP="00F06C4D">
      <w:pPr>
        <w:pStyle w:val="Text"/>
        <w:rPr>
          <w:rFonts w:eastAsia="Calibri"/>
        </w:rPr>
      </w:pPr>
      <w:r>
        <w:rPr>
          <w:rFonts w:eastAsia="Calibri"/>
        </w:rPr>
        <w:t>One problem with the</w:t>
      </w:r>
      <w:r w:rsidR="00B57531">
        <w:rPr>
          <w:rFonts w:eastAsia="Calibri"/>
        </w:rPr>
        <w:t xml:space="preserve"> analysis presented so far </w:t>
      </w:r>
      <w:r>
        <w:rPr>
          <w:rFonts w:eastAsia="Calibri"/>
        </w:rPr>
        <w:t xml:space="preserve">is that it </w:t>
      </w:r>
      <w:r w:rsidR="00B57531">
        <w:rPr>
          <w:rFonts w:eastAsia="Calibri"/>
        </w:rPr>
        <w:t xml:space="preserve">does not provide information on </w:t>
      </w:r>
      <w:r w:rsidR="00B57531" w:rsidRPr="00D12DD9">
        <w:rPr>
          <w:rFonts w:eastAsia="Calibri"/>
          <w:i/>
        </w:rPr>
        <w:t>who</w:t>
      </w:r>
      <w:r w:rsidR="00B57531">
        <w:rPr>
          <w:rFonts w:eastAsia="Calibri"/>
        </w:rPr>
        <w:t xml:space="preserve"> ended up in which jobs. For instance, were those students who ended up in the highest-status jobs actually </w:t>
      </w:r>
      <w:r w:rsidR="00B57531" w:rsidRPr="00D12DD9">
        <w:rPr>
          <w:rFonts w:eastAsia="Calibri"/>
          <w:i/>
        </w:rPr>
        <w:t>aiming</w:t>
      </w:r>
      <w:r w:rsidR="00B57531">
        <w:rPr>
          <w:rFonts w:eastAsia="Calibri"/>
        </w:rPr>
        <w:t xml:space="preserve"> for those jobs? </w:t>
      </w:r>
      <w:r w:rsidR="005A4DA2">
        <w:rPr>
          <w:rFonts w:eastAsia="Calibri"/>
        </w:rPr>
        <w:t>T</w:t>
      </w:r>
      <w:r w:rsidR="00B57531">
        <w:rPr>
          <w:rFonts w:eastAsia="Calibri"/>
        </w:rPr>
        <w:t>o address this, t</w:t>
      </w:r>
      <w:r w:rsidR="005A4DA2">
        <w:rPr>
          <w:rFonts w:eastAsia="Calibri"/>
        </w:rPr>
        <w:t xml:space="preserve">he final part </w:t>
      </w:r>
      <w:r w:rsidR="007672A4">
        <w:rPr>
          <w:rFonts w:eastAsia="Calibri"/>
        </w:rPr>
        <w:t>of this analysis</w:t>
      </w:r>
      <w:r w:rsidR="005A4DA2">
        <w:rPr>
          <w:rFonts w:eastAsia="Calibri"/>
        </w:rPr>
        <w:t xml:space="preserve"> tracks individual groups of students. This time the sample </w:t>
      </w:r>
      <w:r w:rsidR="006841F2">
        <w:rPr>
          <w:rFonts w:eastAsia="Calibri"/>
        </w:rPr>
        <w:t xml:space="preserve">is divided </w:t>
      </w:r>
      <w:r w:rsidR="005A4DA2">
        <w:rPr>
          <w:rFonts w:eastAsia="Calibri"/>
        </w:rPr>
        <w:t xml:space="preserve">into quartiles rather than deciles, </w:t>
      </w:r>
      <w:r w:rsidR="00EE5442">
        <w:rPr>
          <w:rFonts w:eastAsia="Calibri"/>
        </w:rPr>
        <w:t>because</w:t>
      </w:r>
      <w:r w:rsidR="005A4DA2">
        <w:rPr>
          <w:rFonts w:eastAsia="Calibri"/>
        </w:rPr>
        <w:t xml:space="preserve"> the tr</w:t>
      </w:r>
      <w:r w:rsidR="00017094">
        <w:rPr>
          <w:rFonts w:eastAsia="Calibri"/>
        </w:rPr>
        <w:t>ansitional matrices become too complex</w:t>
      </w:r>
      <w:r w:rsidR="005A4DA2">
        <w:rPr>
          <w:rFonts w:eastAsia="Calibri"/>
        </w:rPr>
        <w:t xml:space="preserve"> to follow. Consider dividing the occupational status scale</w:t>
      </w:r>
      <w:r w:rsidR="00B57531">
        <w:rPr>
          <w:rFonts w:eastAsia="Calibri"/>
        </w:rPr>
        <w:t xml:space="preserve">s (ANU4 and </w:t>
      </w:r>
      <w:r w:rsidR="00B57531">
        <w:rPr>
          <w:rFonts w:eastAsia="Calibri"/>
        </w:rPr>
        <w:lastRenderedPageBreak/>
        <w:t>AUSEI06)</w:t>
      </w:r>
      <w:r w:rsidR="005A4DA2">
        <w:rPr>
          <w:rFonts w:eastAsia="Calibri"/>
        </w:rPr>
        <w:t xml:space="preserve"> into quartiles, where quartile one represents the lowest-status occupations</w:t>
      </w:r>
      <w:r w:rsidR="007969A0">
        <w:rPr>
          <w:rFonts w:eastAsia="Calibri"/>
        </w:rPr>
        <w:t>, with scores below 25,</w:t>
      </w:r>
      <w:r w:rsidR="005A4DA2">
        <w:rPr>
          <w:rFonts w:eastAsia="Calibri"/>
        </w:rPr>
        <w:t xml:space="preserve"> and quartile four represents the highest-status occupations</w:t>
      </w:r>
      <w:r w:rsidR="007969A0">
        <w:rPr>
          <w:rFonts w:eastAsia="Calibri"/>
        </w:rPr>
        <w:t>, with scores above 75.</w:t>
      </w:r>
    </w:p>
    <w:p w:rsidR="005E77F9" w:rsidRDefault="000772F7" w:rsidP="005E77F9">
      <w:pPr>
        <w:pStyle w:val="Text"/>
        <w:rPr>
          <w:rFonts w:eastAsia="Calibri"/>
        </w:rPr>
      </w:pPr>
      <w:r>
        <w:rPr>
          <w:rFonts w:eastAsia="Calibri"/>
        </w:rPr>
        <w:t>Tables</w:t>
      </w:r>
      <w:r w:rsidR="00856572">
        <w:rPr>
          <w:rFonts w:eastAsia="Calibri"/>
        </w:rPr>
        <w:t xml:space="preserve"> </w:t>
      </w:r>
      <w:r w:rsidR="00AC72D3">
        <w:rPr>
          <w:rFonts w:eastAsia="Calibri"/>
        </w:rPr>
        <w:t>1</w:t>
      </w:r>
      <w:r w:rsidR="00EF3801">
        <w:rPr>
          <w:rFonts w:eastAsia="Calibri"/>
        </w:rPr>
        <w:t>3</w:t>
      </w:r>
      <w:r w:rsidR="00AC72D3">
        <w:rPr>
          <w:rFonts w:eastAsia="Calibri"/>
        </w:rPr>
        <w:t xml:space="preserve"> and 1</w:t>
      </w:r>
      <w:r w:rsidR="00EF3801">
        <w:rPr>
          <w:rFonts w:eastAsia="Calibri"/>
        </w:rPr>
        <w:t>4</w:t>
      </w:r>
      <w:r w:rsidR="00856572">
        <w:rPr>
          <w:rFonts w:eastAsia="Calibri"/>
        </w:rPr>
        <w:t xml:space="preserve"> show the results for m</w:t>
      </w:r>
      <w:r w:rsidR="005E77F9">
        <w:rPr>
          <w:rFonts w:eastAsia="Calibri"/>
        </w:rPr>
        <w:t>ales and females, respectively</w:t>
      </w:r>
      <w:r w:rsidR="00856572">
        <w:rPr>
          <w:rFonts w:eastAsia="Calibri"/>
        </w:rPr>
        <w:t>.</w:t>
      </w:r>
      <w:r w:rsidR="006841F2">
        <w:rPr>
          <w:rFonts w:eastAsia="Calibri"/>
        </w:rPr>
        <w:t xml:space="preserve"> These tables answer the question: Where did students who aspired to jobs in a particular quartile end up</w:t>
      </w:r>
      <w:r w:rsidR="005E77F9">
        <w:rPr>
          <w:rFonts w:eastAsia="Calibri"/>
        </w:rPr>
        <w:t xml:space="preserve"> at age 25</w:t>
      </w:r>
      <w:r w:rsidR="00EE5442">
        <w:rPr>
          <w:rFonts w:eastAsia="Calibri"/>
        </w:rPr>
        <w:t xml:space="preserve"> years</w:t>
      </w:r>
      <w:r w:rsidR="006841F2">
        <w:rPr>
          <w:rFonts w:eastAsia="Calibri"/>
        </w:rPr>
        <w:t>?</w:t>
      </w:r>
      <w:r w:rsidR="005E77F9" w:rsidRPr="005E77F9">
        <w:rPr>
          <w:rFonts w:eastAsia="Calibri"/>
        </w:rPr>
        <w:t xml:space="preserve"> </w:t>
      </w:r>
      <w:r w:rsidR="005E77F9">
        <w:rPr>
          <w:rFonts w:eastAsia="Calibri"/>
        </w:rPr>
        <w:t xml:space="preserve">If all students achieved exactly what they aimed for in terms of job status, </w:t>
      </w:r>
      <w:r w:rsidR="007672A4">
        <w:rPr>
          <w:rFonts w:eastAsia="Calibri"/>
        </w:rPr>
        <w:t>there</w:t>
      </w:r>
      <w:r w:rsidR="005E77F9">
        <w:rPr>
          <w:rFonts w:eastAsia="Calibri"/>
        </w:rPr>
        <w:t xml:space="preserve"> would </w:t>
      </w:r>
      <w:r w:rsidR="007672A4">
        <w:rPr>
          <w:rFonts w:eastAsia="Calibri"/>
        </w:rPr>
        <w:t>be values of 100</w:t>
      </w:r>
      <w:r w:rsidR="005E77F9">
        <w:rPr>
          <w:rFonts w:eastAsia="Calibri"/>
        </w:rPr>
        <w:t xml:space="preserve"> down the diagonal and zeros elsewhere. This is </w:t>
      </w:r>
      <w:r w:rsidR="007969A0">
        <w:rPr>
          <w:rFonts w:eastAsia="Calibri"/>
        </w:rPr>
        <w:t xml:space="preserve">clearly </w:t>
      </w:r>
      <w:r w:rsidR="005E77F9">
        <w:rPr>
          <w:rFonts w:eastAsia="Calibri"/>
        </w:rPr>
        <w:t>not the case.</w:t>
      </w:r>
    </w:p>
    <w:p w:rsidR="00B57531" w:rsidRDefault="00B57531" w:rsidP="00B57531">
      <w:pPr>
        <w:pStyle w:val="tabletitle"/>
        <w:rPr>
          <w:rFonts w:eastAsia="Calibri"/>
        </w:rPr>
      </w:pPr>
      <w:bookmarkStart w:id="90" w:name="_Toc377396990"/>
      <w:r w:rsidRPr="00F70A69">
        <w:rPr>
          <w:rFonts w:eastAsia="Calibri"/>
        </w:rPr>
        <w:t xml:space="preserve">Table </w:t>
      </w:r>
      <w:r w:rsidR="00377D20">
        <w:rPr>
          <w:rFonts w:eastAsia="Calibri"/>
        </w:rPr>
        <w:t>1</w:t>
      </w:r>
      <w:r w:rsidR="00EF3801">
        <w:rPr>
          <w:rFonts w:eastAsia="Calibri"/>
        </w:rPr>
        <w:t>3</w:t>
      </w:r>
      <w:r>
        <w:rPr>
          <w:rFonts w:eastAsia="Calibri"/>
        </w:rPr>
        <w:tab/>
      </w:r>
      <w:r w:rsidRPr="00662225">
        <w:rPr>
          <w:rFonts w:eastAsia="Calibri"/>
        </w:rPr>
        <w:t xml:space="preserve">Occupational outcomes at age 25 </w:t>
      </w:r>
      <w:r w:rsidR="00C64242">
        <w:rPr>
          <w:rFonts w:eastAsia="Calibri"/>
        </w:rPr>
        <w:t xml:space="preserve">years </w:t>
      </w:r>
      <w:r w:rsidRPr="00662225">
        <w:rPr>
          <w:rFonts w:eastAsia="Calibri"/>
        </w:rPr>
        <w:t>classified by occupational aspirations at age 15</w:t>
      </w:r>
      <w:r w:rsidR="009400F1">
        <w:rPr>
          <w:rFonts w:eastAsia="Calibri"/>
        </w:rPr>
        <w:t> </w:t>
      </w:r>
      <w:r w:rsidR="00C64242">
        <w:rPr>
          <w:rFonts w:eastAsia="Calibri"/>
        </w:rPr>
        <w:t>years</w:t>
      </w:r>
      <w:r w:rsidRPr="00662225">
        <w:rPr>
          <w:rFonts w:eastAsia="Calibri"/>
        </w:rPr>
        <w:t xml:space="preserve">, </w:t>
      </w:r>
      <w:r>
        <w:rPr>
          <w:rFonts w:eastAsia="Calibri"/>
        </w:rPr>
        <w:t>males</w:t>
      </w:r>
      <w:bookmarkEnd w:id="90"/>
    </w:p>
    <w:tbl>
      <w:tblPr>
        <w:tblW w:w="8222" w:type="dxa"/>
        <w:tblInd w:w="113" w:type="dxa"/>
        <w:tblLayout w:type="fixed"/>
        <w:tblCellMar>
          <w:left w:w="113" w:type="dxa"/>
          <w:right w:w="113" w:type="dxa"/>
        </w:tblCellMar>
        <w:tblLook w:val="0000" w:firstRow="0" w:lastRow="0" w:firstColumn="0" w:lastColumn="0" w:noHBand="0" w:noVBand="0"/>
      </w:tblPr>
      <w:tblGrid>
        <w:gridCol w:w="2647"/>
        <w:gridCol w:w="1115"/>
        <w:gridCol w:w="1115"/>
        <w:gridCol w:w="1115"/>
        <w:gridCol w:w="1115"/>
        <w:gridCol w:w="1115"/>
      </w:tblGrid>
      <w:tr w:rsidR="00B57531" w:rsidTr="009400F1">
        <w:tc>
          <w:tcPr>
            <w:tcW w:w="2647" w:type="dxa"/>
            <w:vMerge w:val="restart"/>
            <w:tcBorders>
              <w:top w:val="single" w:sz="4" w:space="0" w:color="auto"/>
            </w:tcBorders>
            <w:shd w:val="clear" w:color="auto" w:fill="auto"/>
          </w:tcPr>
          <w:p w:rsidR="00B57531" w:rsidRDefault="00B57531" w:rsidP="00F13912">
            <w:pPr>
              <w:pStyle w:val="Tablehead1"/>
              <w:rPr>
                <w:rFonts w:eastAsia="Calibri"/>
              </w:rPr>
            </w:pPr>
            <w:r>
              <w:rPr>
                <w:rFonts w:eastAsia="Calibri"/>
              </w:rPr>
              <w:t>Status of job aspired to at</w:t>
            </w:r>
            <w:r w:rsidR="00F13912">
              <w:rPr>
                <w:rFonts w:eastAsia="Calibri"/>
              </w:rPr>
              <w:t> </w:t>
            </w:r>
            <w:r>
              <w:rPr>
                <w:rFonts w:eastAsia="Calibri"/>
              </w:rPr>
              <w:t>age 15</w:t>
            </w:r>
            <w:r w:rsidR="00EE5442">
              <w:rPr>
                <w:rFonts w:eastAsia="Calibri"/>
              </w:rPr>
              <w:t xml:space="preserve"> years</w:t>
            </w:r>
            <w:r>
              <w:rPr>
                <w:rFonts w:eastAsia="Calibri"/>
              </w:rPr>
              <w:t xml:space="preserve"> (ANU4)</w:t>
            </w:r>
          </w:p>
        </w:tc>
        <w:tc>
          <w:tcPr>
            <w:tcW w:w="5575" w:type="dxa"/>
            <w:gridSpan w:val="5"/>
            <w:tcBorders>
              <w:top w:val="single" w:sz="4" w:space="0" w:color="auto"/>
            </w:tcBorders>
          </w:tcPr>
          <w:p w:rsidR="00B57531" w:rsidRDefault="00B57531" w:rsidP="009400F1">
            <w:pPr>
              <w:pStyle w:val="Tablehead1"/>
              <w:jc w:val="center"/>
              <w:rPr>
                <w:rFonts w:eastAsia="Calibri"/>
              </w:rPr>
            </w:pPr>
            <w:r>
              <w:rPr>
                <w:rFonts w:eastAsia="Calibri"/>
              </w:rPr>
              <w:t>Status of job held at age 25</w:t>
            </w:r>
            <w:r w:rsidR="00EE5442">
              <w:rPr>
                <w:rFonts w:eastAsia="Calibri"/>
              </w:rPr>
              <w:t xml:space="preserve"> years</w:t>
            </w:r>
            <w:r>
              <w:rPr>
                <w:rFonts w:eastAsia="Calibri"/>
              </w:rPr>
              <w:t xml:space="preserve"> (%)</w:t>
            </w:r>
          </w:p>
        </w:tc>
      </w:tr>
      <w:tr w:rsidR="00B57531" w:rsidRPr="00E5745D" w:rsidTr="009400F1">
        <w:tc>
          <w:tcPr>
            <w:tcW w:w="2647" w:type="dxa"/>
            <w:vMerge/>
            <w:tcBorders>
              <w:bottom w:val="single" w:sz="4" w:space="0" w:color="auto"/>
            </w:tcBorders>
            <w:shd w:val="clear" w:color="auto" w:fill="auto"/>
          </w:tcPr>
          <w:p w:rsidR="00B57531" w:rsidRPr="00E5745D" w:rsidRDefault="00B57531" w:rsidP="00A038EA">
            <w:pPr>
              <w:tabs>
                <w:tab w:val="left" w:pos="992"/>
              </w:tabs>
              <w:spacing w:before="20" w:after="20" w:line="240" w:lineRule="auto"/>
              <w:rPr>
                <w:rFonts w:ascii="Arial" w:eastAsia="Calibri" w:hAnsi="Arial"/>
                <w:b/>
                <w:sz w:val="17"/>
              </w:rPr>
            </w:pPr>
          </w:p>
        </w:tc>
        <w:tc>
          <w:tcPr>
            <w:tcW w:w="1115" w:type="dxa"/>
            <w:tcBorders>
              <w:bottom w:val="single" w:sz="4" w:space="0" w:color="auto"/>
            </w:tcBorders>
          </w:tcPr>
          <w:p w:rsidR="00B57531" w:rsidRPr="00E5745D" w:rsidRDefault="00B57531" w:rsidP="009400F1">
            <w:pPr>
              <w:pStyle w:val="Tablehead2"/>
              <w:jc w:val="center"/>
              <w:rPr>
                <w:rFonts w:eastAsia="Calibri"/>
              </w:rPr>
            </w:pPr>
            <w:r>
              <w:rPr>
                <w:rFonts w:eastAsia="Calibri"/>
              </w:rPr>
              <w:t>Q1</w:t>
            </w:r>
          </w:p>
        </w:tc>
        <w:tc>
          <w:tcPr>
            <w:tcW w:w="1115" w:type="dxa"/>
            <w:tcBorders>
              <w:bottom w:val="single" w:sz="4" w:space="0" w:color="auto"/>
            </w:tcBorders>
            <w:shd w:val="clear" w:color="auto" w:fill="auto"/>
          </w:tcPr>
          <w:p w:rsidR="00B57531" w:rsidRPr="00E5745D" w:rsidRDefault="00B57531" w:rsidP="009400F1">
            <w:pPr>
              <w:pStyle w:val="Tablehead2"/>
              <w:jc w:val="center"/>
              <w:rPr>
                <w:rFonts w:eastAsia="Calibri"/>
              </w:rPr>
            </w:pPr>
            <w:r>
              <w:rPr>
                <w:rFonts w:eastAsia="Calibri"/>
              </w:rPr>
              <w:t>Q2</w:t>
            </w:r>
          </w:p>
        </w:tc>
        <w:tc>
          <w:tcPr>
            <w:tcW w:w="1115" w:type="dxa"/>
            <w:tcBorders>
              <w:bottom w:val="single" w:sz="4" w:space="0" w:color="auto"/>
            </w:tcBorders>
          </w:tcPr>
          <w:p w:rsidR="00B57531" w:rsidRPr="00E5745D" w:rsidRDefault="00B57531" w:rsidP="009400F1">
            <w:pPr>
              <w:pStyle w:val="Tablehead2"/>
              <w:jc w:val="center"/>
              <w:rPr>
                <w:rFonts w:eastAsia="Calibri"/>
              </w:rPr>
            </w:pPr>
            <w:r>
              <w:rPr>
                <w:rFonts w:eastAsia="Calibri"/>
              </w:rPr>
              <w:t>Q3</w:t>
            </w:r>
          </w:p>
        </w:tc>
        <w:tc>
          <w:tcPr>
            <w:tcW w:w="1115" w:type="dxa"/>
            <w:tcBorders>
              <w:bottom w:val="single" w:sz="4" w:space="0" w:color="auto"/>
            </w:tcBorders>
          </w:tcPr>
          <w:p w:rsidR="00B57531" w:rsidRPr="00E5745D" w:rsidRDefault="00B57531" w:rsidP="009400F1">
            <w:pPr>
              <w:pStyle w:val="Tablehead2"/>
              <w:jc w:val="center"/>
              <w:rPr>
                <w:rFonts w:eastAsia="Calibri"/>
              </w:rPr>
            </w:pPr>
            <w:r>
              <w:rPr>
                <w:rFonts w:eastAsia="Calibri"/>
              </w:rPr>
              <w:t>Q4</w:t>
            </w:r>
          </w:p>
        </w:tc>
        <w:tc>
          <w:tcPr>
            <w:tcW w:w="1115" w:type="dxa"/>
            <w:tcBorders>
              <w:bottom w:val="single" w:sz="4" w:space="0" w:color="auto"/>
            </w:tcBorders>
          </w:tcPr>
          <w:p w:rsidR="00B57531" w:rsidRPr="00E5745D" w:rsidRDefault="00B57531" w:rsidP="009400F1">
            <w:pPr>
              <w:pStyle w:val="Tablehead2"/>
              <w:jc w:val="center"/>
              <w:rPr>
                <w:rFonts w:eastAsia="Calibri"/>
              </w:rPr>
            </w:pPr>
            <w:r>
              <w:rPr>
                <w:rFonts w:eastAsia="Calibri"/>
              </w:rPr>
              <w:t>Total (%)</w:t>
            </w:r>
          </w:p>
        </w:tc>
      </w:tr>
      <w:tr w:rsidR="00B57531" w:rsidTr="009400F1">
        <w:tc>
          <w:tcPr>
            <w:tcW w:w="2647" w:type="dxa"/>
            <w:tcBorders>
              <w:top w:val="single" w:sz="4" w:space="0" w:color="auto"/>
            </w:tcBorders>
            <w:shd w:val="clear" w:color="auto" w:fill="auto"/>
          </w:tcPr>
          <w:p w:rsidR="00B57531" w:rsidRPr="00662225" w:rsidRDefault="00B57531" w:rsidP="00A038EA">
            <w:pPr>
              <w:pStyle w:val="Tabletext"/>
              <w:rPr>
                <w:rFonts w:eastAsia="Calibri"/>
              </w:rPr>
            </w:pPr>
            <w:r>
              <w:rPr>
                <w:rFonts w:eastAsia="Calibri"/>
              </w:rPr>
              <w:t>Quartile 1 (lowest-status)</w:t>
            </w:r>
          </w:p>
        </w:tc>
        <w:tc>
          <w:tcPr>
            <w:tcW w:w="1115" w:type="dxa"/>
            <w:tcBorders>
              <w:top w:val="single" w:sz="4" w:space="0" w:color="auto"/>
            </w:tcBorders>
            <w:shd w:val="clear" w:color="auto" w:fill="D9D9D9" w:themeFill="background1" w:themeFillShade="D9"/>
          </w:tcPr>
          <w:p w:rsidR="00B57531" w:rsidRDefault="00B57531" w:rsidP="00F13912">
            <w:pPr>
              <w:pStyle w:val="Tabletext"/>
              <w:tabs>
                <w:tab w:val="right" w:pos="538"/>
              </w:tabs>
              <w:ind w:right="369"/>
              <w:jc w:val="right"/>
            </w:pPr>
            <w:r>
              <w:t>20</w:t>
            </w:r>
          </w:p>
        </w:tc>
        <w:tc>
          <w:tcPr>
            <w:tcW w:w="1115" w:type="dxa"/>
            <w:tcBorders>
              <w:top w:val="single" w:sz="4" w:space="0" w:color="auto"/>
            </w:tcBorders>
            <w:shd w:val="clear" w:color="auto" w:fill="auto"/>
          </w:tcPr>
          <w:p w:rsidR="00B57531" w:rsidRDefault="00B57531" w:rsidP="00F13912">
            <w:pPr>
              <w:pStyle w:val="Tabletext"/>
              <w:ind w:right="369"/>
              <w:jc w:val="right"/>
            </w:pPr>
            <w:r>
              <w:t>74</w:t>
            </w:r>
          </w:p>
        </w:tc>
        <w:tc>
          <w:tcPr>
            <w:tcW w:w="1115" w:type="dxa"/>
            <w:tcBorders>
              <w:top w:val="single" w:sz="4" w:space="0" w:color="auto"/>
            </w:tcBorders>
          </w:tcPr>
          <w:p w:rsidR="00B57531" w:rsidRDefault="00B57531" w:rsidP="00F13912">
            <w:pPr>
              <w:pStyle w:val="Tabletext"/>
              <w:ind w:right="397"/>
              <w:jc w:val="right"/>
            </w:pPr>
            <w:r>
              <w:t>5</w:t>
            </w:r>
          </w:p>
        </w:tc>
        <w:tc>
          <w:tcPr>
            <w:tcW w:w="1115" w:type="dxa"/>
            <w:tcBorders>
              <w:top w:val="single" w:sz="4" w:space="0" w:color="auto"/>
            </w:tcBorders>
          </w:tcPr>
          <w:p w:rsidR="00B57531" w:rsidRDefault="00B57531" w:rsidP="00F13912">
            <w:pPr>
              <w:pStyle w:val="Tabletext"/>
              <w:ind w:right="397"/>
              <w:jc w:val="right"/>
            </w:pPr>
            <w:r>
              <w:t>2</w:t>
            </w:r>
          </w:p>
        </w:tc>
        <w:tc>
          <w:tcPr>
            <w:tcW w:w="1115" w:type="dxa"/>
            <w:tcBorders>
              <w:top w:val="single" w:sz="4" w:space="0" w:color="auto"/>
            </w:tcBorders>
          </w:tcPr>
          <w:p w:rsidR="00B57531" w:rsidRPr="00A82DF7" w:rsidRDefault="00B57531" w:rsidP="00F13912">
            <w:pPr>
              <w:pStyle w:val="Tabletext"/>
              <w:ind w:right="340"/>
              <w:jc w:val="right"/>
              <w:rPr>
                <w:b/>
              </w:rPr>
            </w:pPr>
            <w:r w:rsidRPr="00A82DF7">
              <w:rPr>
                <w:b/>
              </w:rPr>
              <w:t>100</w:t>
            </w:r>
          </w:p>
        </w:tc>
      </w:tr>
      <w:tr w:rsidR="00B57531" w:rsidTr="009400F1">
        <w:tc>
          <w:tcPr>
            <w:tcW w:w="2647" w:type="dxa"/>
            <w:shd w:val="clear" w:color="auto" w:fill="auto"/>
          </w:tcPr>
          <w:p w:rsidR="00B57531" w:rsidRPr="00662225" w:rsidRDefault="00B57531" w:rsidP="00A038EA">
            <w:pPr>
              <w:pStyle w:val="Tabletext"/>
              <w:rPr>
                <w:rFonts w:eastAsia="Calibri"/>
              </w:rPr>
            </w:pPr>
            <w:r>
              <w:rPr>
                <w:rFonts w:eastAsia="Calibri"/>
              </w:rPr>
              <w:t>Quartile 2</w:t>
            </w:r>
          </w:p>
        </w:tc>
        <w:tc>
          <w:tcPr>
            <w:tcW w:w="1115" w:type="dxa"/>
          </w:tcPr>
          <w:p w:rsidR="00B57531" w:rsidRDefault="00B57531" w:rsidP="00F13912">
            <w:pPr>
              <w:pStyle w:val="Tabletext"/>
              <w:tabs>
                <w:tab w:val="right" w:pos="538"/>
              </w:tabs>
              <w:ind w:right="369"/>
              <w:jc w:val="right"/>
            </w:pPr>
            <w:r>
              <w:t>22</w:t>
            </w:r>
          </w:p>
        </w:tc>
        <w:tc>
          <w:tcPr>
            <w:tcW w:w="1115" w:type="dxa"/>
            <w:shd w:val="clear" w:color="auto" w:fill="D9D9D9" w:themeFill="background1" w:themeFillShade="D9"/>
          </w:tcPr>
          <w:p w:rsidR="00B57531" w:rsidRDefault="00B57531" w:rsidP="00F13912">
            <w:pPr>
              <w:pStyle w:val="Tabletext"/>
              <w:ind w:right="369"/>
              <w:jc w:val="right"/>
            </w:pPr>
            <w:r>
              <w:t>55</w:t>
            </w:r>
          </w:p>
        </w:tc>
        <w:tc>
          <w:tcPr>
            <w:tcW w:w="1115" w:type="dxa"/>
          </w:tcPr>
          <w:p w:rsidR="00B57531" w:rsidRDefault="00B57531" w:rsidP="00F13912">
            <w:pPr>
              <w:pStyle w:val="Tabletext"/>
              <w:ind w:right="397"/>
              <w:jc w:val="right"/>
            </w:pPr>
            <w:r>
              <w:t>17</w:t>
            </w:r>
          </w:p>
        </w:tc>
        <w:tc>
          <w:tcPr>
            <w:tcW w:w="1115" w:type="dxa"/>
          </w:tcPr>
          <w:p w:rsidR="00B57531" w:rsidRDefault="00B57531" w:rsidP="00F13912">
            <w:pPr>
              <w:pStyle w:val="Tabletext"/>
              <w:ind w:right="397"/>
              <w:jc w:val="right"/>
            </w:pPr>
            <w:r>
              <w:t>6</w:t>
            </w:r>
          </w:p>
        </w:tc>
        <w:tc>
          <w:tcPr>
            <w:tcW w:w="1115" w:type="dxa"/>
          </w:tcPr>
          <w:p w:rsidR="00B57531" w:rsidRPr="00A82DF7" w:rsidRDefault="00B57531" w:rsidP="00F13912">
            <w:pPr>
              <w:pStyle w:val="Tabletext"/>
              <w:ind w:right="340"/>
              <w:jc w:val="right"/>
              <w:rPr>
                <w:b/>
              </w:rPr>
            </w:pPr>
            <w:r w:rsidRPr="00A82DF7">
              <w:rPr>
                <w:b/>
              </w:rPr>
              <w:t>100</w:t>
            </w:r>
          </w:p>
        </w:tc>
      </w:tr>
      <w:tr w:rsidR="00B57531" w:rsidTr="009400F1">
        <w:tc>
          <w:tcPr>
            <w:tcW w:w="2647" w:type="dxa"/>
            <w:shd w:val="clear" w:color="auto" w:fill="auto"/>
          </w:tcPr>
          <w:p w:rsidR="00B57531" w:rsidRPr="00662225" w:rsidRDefault="00B57531" w:rsidP="00A038EA">
            <w:pPr>
              <w:pStyle w:val="Tabletext"/>
              <w:rPr>
                <w:rFonts w:eastAsia="Calibri"/>
              </w:rPr>
            </w:pPr>
            <w:r>
              <w:rPr>
                <w:rFonts w:eastAsia="Calibri"/>
              </w:rPr>
              <w:t>Quartile 3</w:t>
            </w:r>
          </w:p>
        </w:tc>
        <w:tc>
          <w:tcPr>
            <w:tcW w:w="1115" w:type="dxa"/>
          </w:tcPr>
          <w:p w:rsidR="00B57531" w:rsidRDefault="00B57531" w:rsidP="00F13912">
            <w:pPr>
              <w:pStyle w:val="Tabletext"/>
              <w:tabs>
                <w:tab w:val="right" w:pos="538"/>
              </w:tabs>
              <w:ind w:right="369"/>
              <w:jc w:val="right"/>
            </w:pPr>
            <w:r>
              <w:t>5</w:t>
            </w:r>
          </w:p>
        </w:tc>
        <w:tc>
          <w:tcPr>
            <w:tcW w:w="1115" w:type="dxa"/>
            <w:shd w:val="clear" w:color="auto" w:fill="auto"/>
          </w:tcPr>
          <w:p w:rsidR="00B57531" w:rsidRDefault="00B57531" w:rsidP="00F13912">
            <w:pPr>
              <w:pStyle w:val="Tabletext"/>
              <w:ind w:right="369"/>
              <w:jc w:val="right"/>
            </w:pPr>
            <w:r>
              <w:t>40</w:t>
            </w:r>
          </w:p>
        </w:tc>
        <w:tc>
          <w:tcPr>
            <w:tcW w:w="1115" w:type="dxa"/>
            <w:shd w:val="clear" w:color="auto" w:fill="D9D9D9" w:themeFill="background1" w:themeFillShade="D9"/>
          </w:tcPr>
          <w:p w:rsidR="00B57531" w:rsidRDefault="00B57531" w:rsidP="00F13912">
            <w:pPr>
              <w:pStyle w:val="Tabletext"/>
              <w:ind w:right="397"/>
              <w:jc w:val="right"/>
            </w:pPr>
            <w:r>
              <w:t>31</w:t>
            </w:r>
          </w:p>
        </w:tc>
        <w:tc>
          <w:tcPr>
            <w:tcW w:w="1115" w:type="dxa"/>
          </w:tcPr>
          <w:p w:rsidR="00B57531" w:rsidRDefault="00B57531" w:rsidP="00F13912">
            <w:pPr>
              <w:pStyle w:val="Tabletext"/>
              <w:ind w:right="397"/>
              <w:jc w:val="right"/>
            </w:pPr>
            <w:r>
              <w:t>24</w:t>
            </w:r>
          </w:p>
        </w:tc>
        <w:tc>
          <w:tcPr>
            <w:tcW w:w="1115" w:type="dxa"/>
          </w:tcPr>
          <w:p w:rsidR="00B57531" w:rsidRPr="00A82DF7" w:rsidRDefault="00B57531" w:rsidP="00F13912">
            <w:pPr>
              <w:pStyle w:val="Tabletext"/>
              <w:ind w:right="340"/>
              <w:jc w:val="right"/>
              <w:rPr>
                <w:b/>
              </w:rPr>
            </w:pPr>
            <w:r w:rsidRPr="00A82DF7">
              <w:rPr>
                <w:b/>
              </w:rPr>
              <w:t>100</w:t>
            </w:r>
          </w:p>
        </w:tc>
      </w:tr>
      <w:tr w:rsidR="00B57531" w:rsidTr="009400F1">
        <w:tc>
          <w:tcPr>
            <w:tcW w:w="2647" w:type="dxa"/>
            <w:tcBorders>
              <w:bottom w:val="dashed" w:sz="4" w:space="0" w:color="auto"/>
            </w:tcBorders>
            <w:shd w:val="clear" w:color="auto" w:fill="auto"/>
          </w:tcPr>
          <w:p w:rsidR="00B57531" w:rsidRPr="00662225" w:rsidRDefault="00B57531" w:rsidP="00A038EA">
            <w:pPr>
              <w:pStyle w:val="Tabletext"/>
              <w:rPr>
                <w:rFonts w:eastAsia="Calibri"/>
              </w:rPr>
            </w:pPr>
            <w:r>
              <w:rPr>
                <w:rFonts w:eastAsia="Calibri"/>
              </w:rPr>
              <w:t>Quartile 4 (highest-status)</w:t>
            </w:r>
          </w:p>
        </w:tc>
        <w:tc>
          <w:tcPr>
            <w:tcW w:w="1115" w:type="dxa"/>
            <w:tcBorders>
              <w:bottom w:val="dashed" w:sz="4" w:space="0" w:color="auto"/>
            </w:tcBorders>
          </w:tcPr>
          <w:p w:rsidR="00B57531" w:rsidRDefault="00B57531" w:rsidP="00F13912">
            <w:pPr>
              <w:pStyle w:val="Tabletext"/>
              <w:tabs>
                <w:tab w:val="right" w:pos="538"/>
              </w:tabs>
              <w:ind w:right="369"/>
              <w:jc w:val="right"/>
            </w:pPr>
            <w:r>
              <w:t>7</w:t>
            </w:r>
          </w:p>
        </w:tc>
        <w:tc>
          <w:tcPr>
            <w:tcW w:w="1115" w:type="dxa"/>
            <w:tcBorders>
              <w:bottom w:val="dashed" w:sz="4" w:space="0" w:color="auto"/>
            </w:tcBorders>
            <w:shd w:val="clear" w:color="auto" w:fill="auto"/>
          </w:tcPr>
          <w:p w:rsidR="00B57531" w:rsidRDefault="00B57531" w:rsidP="00F13912">
            <w:pPr>
              <w:pStyle w:val="Tabletext"/>
              <w:ind w:right="369"/>
              <w:jc w:val="right"/>
            </w:pPr>
            <w:r>
              <w:t>30</w:t>
            </w:r>
          </w:p>
        </w:tc>
        <w:tc>
          <w:tcPr>
            <w:tcW w:w="1115" w:type="dxa"/>
            <w:tcBorders>
              <w:bottom w:val="dashed" w:sz="4" w:space="0" w:color="auto"/>
            </w:tcBorders>
          </w:tcPr>
          <w:p w:rsidR="00B57531" w:rsidRDefault="00B57531" w:rsidP="00F13912">
            <w:pPr>
              <w:pStyle w:val="Tabletext"/>
              <w:ind w:right="397"/>
              <w:jc w:val="right"/>
            </w:pPr>
            <w:r>
              <w:t>24</w:t>
            </w:r>
          </w:p>
        </w:tc>
        <w:tc>
          <w:tcPr>
            <w:tcW w:w="1115" w:type="dxa"/>
            <w:tcBorders>
              <w:bottom w:val="dashed" w:sz="4" w:space="0" w:color="auto"/>
            </w:tcBorders>
            <w:shd w:val="clear" w:color="auto" w:fill="D9D9D9" w:themeFill="background1" w:themeFillShade="D9"/>
          </w:tcPr>
          <w:p w:rsidR="00B57531" w:rsidRDefault="00B57531" w:rsidP="00F13912">
            <w:pPr>
              <w:pStyle w:val="Tabletext"/>
              <w:ind w:right="397"/>
              <w:jc w:val="right"/>
            </w:pPr>
            <w:r>
              <w:t>39</w:t>
            </w:r>
          </w:p>
        </w:tc>
        <w:tc>
          <w:tcPr>
            <w:tcW w:w="1115" w:type="dxa"/>
            <w:tcBorders>
              <w:bottom w:val="dashed" w:sz="4" w:space="0" w:color="auto"/>
            </w:tcBorders>
          </w:tcPr>
          <w:p w:rsidR="00B57531" w:rsidRPr="00A82DF7" w:rsidRDefault="00B57531" w:rsidP="00F13912">
            <w:pPr>
              <w:pStyle w:val="Tabletext"/>
              <w:ind w:right="340"/>
              <w:jc w:val="right"/>
              <w:rPr>
                <w:b/>
              </w:rPr>
            </w:pPr>
            <w:r w:rsidRPr="00A82DF7">
              <w:rPr>
                <w:b/>
              </w:rPr>
              <w:t>100</w:t>
            </w:r>
          </w:p>
        </w:tc>
      </w:tr>
      <w:tr w:rsidR="00B57531" w:rsidTr="009400F1">
        <w:tc>
          <w:tcPr>
            <w:tcW w:w="2647" w:type="dxa"/>
            <w:tcBorders>
              <w:top w:val="dashed" w:sz="4" w:space="0" w:color="auto"/>
              <w:bottom w:val="single" w:sz="4" w:space="0" w:color="auto"/>
            </w:tcBorders>
            <w:shd w:val="clear" w:color="auto" w:fill="auto"/>
          </w:tcPr>
          <w:p w:rsidR="00B57531" w:rsidRPr="00662225" w:rsidRDefault="00B57531" w:rsidP="00A038EA">
            <w:pPr>
              <w:pStyle w:val="Tabletext"/>
              <w:rPr>
                <w:rFonts w:eastAsia="Calibri"/>
              </w:rPr>
            </w:pPr>
            <w:r>
              <w:rPr>
                <w:rFonts w:eastAsia="Calibri"/>
              </w:rPr>
              <w:t>All quartiles</w:t>
            </w:r>
          </w:p>
        </w:tc>
        <w:tc>
          <w:tcPr>
            <w:tcW w:w="1115" w:type="dxa"/>
            <w:tcBorders>
              <w:top w:val="dashed" w:sz="4" w:space="0" w:color="auto"/>
              <w:bottom w:val="single" w:sz="4" w:space="0" w:color="auto"/>
            </w:tcBorders>
          </w:tcPr>
          <w:p w:rsidR="00B57531" w:rsidRPr="00CC3C1D" w:rsidRDefault="00B57531" w:rsidP="00F13912">
            <w:pPr>
              <w:pStyle w:val="Tabletext"/>
              <w:tabs>
                <w:tab w:val="right" w:pos="538"/>
              </w:tabs>
              <w:ind w:right="369"/>
              <w:jc w:val="right"/>
              <w:rPr>
                <w:b/>
              </w:rPr>
            </w:pPr>
            <w:r>
              <w:rPr>
                <w:b/>
              </w:rPr>
              <w:t>13</w:t>
            </w:r>
          </w:p>
        </w:tc>
        <w:tc>
          <w:tcPr>
            <w:tcW w:w="1115" w:type="dxa"/>
            <w:tcBorders>
              <w:top w:val="dashed" w:sz="4" w:space="0" w:color="auto"/>
              <w:bottom w:val="single" w:sz="4" w:space="0" w:color="auto"/>
            </w:tcBorders>
            <w:shd w:val="clear" w:color="auto" w:fill="auto"/>
          </w:tcPr>
          <w:p w:rsidR="00B57531" w:rsidRPr="00CC3C1D" w:rsidRDefault="00B57531" w:rsidP="00F13912">
            <w:pPr>
              <w:pStyle w:val="Tabletext"/>
              <w:ind w:right="369"/>
              <w:jc w:val="right"/>
              <w:rPr>
                <w:b/>
              </w:rPr>
            </w:pPr>
            <w:r>
              <w:rPr>
                <w:b/>
              </w:rPr>
              <w:t>42</w:t>
            </w:r>
          </w:p>
        </w:tc>
        <w:tc>
          <w:tcPr>
            <w:tcW w:w="1115" w:type="dxa"/>
            <w:tcBorders>
              <w:top w:val="dashed" w:sz="4" w:space="0" w:color="auto"/>
              <w:bottom w:val="single" w:sz="4" w:space="0" w:color="auto"/>
            </w:tcBorders>
          </w:tcPr>
          <w:p w:rsidR="00B57531" w:rsidRPr="00CC3C1D" w:rsidRDefault="00B57531" w:rsidP="00F13912">
            <w:pPr>
              <w:pStyle w:val="Tabletext"/>
              <w:ind w:right="397"/>
              <w:jc w:val="right"/>
              <w:rPr>
                <w:b/>
              </w:rPr>
            </w:pPr>
            <w:r>
              <w:rPr>
                <w:b/>
              </w:rPr>
              <w:t>22</w:t>
            </w:r>
          </w:p>
        </w:tc>
        <w:tc>
          <w:tcPr>
            <w:tcW w:w="1115" w:type="dxa"/>
            <w:tcBorders>
              <w:top w:val="dashed" w:sz="4" w:space="0" w:color="auto"/>
              <w:bottom w:val="single" w:sz="4" w:space="0" w:color="auto"/>
            </w:tcBorders>
          </w:tcPr>
          <w:p w:rsidR="00B57531" w:rsidRPr="00CC3C1D" w:rsidRDefault="00B57531" w:rsidP="00F13912">
            <w:pPr>
              <w:pStyle w:val="Tabletext"/>
              <w:ind w:right="397"/>
              <w:jc w:val="right"/>
              <w:rPr>
                <w:b/>
              </w:rPr>
            </w:pPr>
            <w:r>
              <w:rPr>
                <w:b/>
              </w:rPr>
              <w:t>23</w:t>
            </w:r>
          </w:p>
        </w:tc>
        <w:tc>
          <w:tcPr>
            <w:tcW w:w="1115" w:type="dxa"/>
            <w:tcBorders>
              <w:top w:val="dashed" w:sz="4" w:space="0" w:color="auto"/>
              <w:bottom w:val="single" w:sz="4" w:space="0" w:color="auto"/>
            </w:tcBorders>
          </w:tcPr>
          <w:p w:rsidR="00B57531" w:rsidRPr="00A82DF7" w:rsidRDefault="00B57531" w:rsidP="00F13912">
            <w:pPr>
              <w:pStyle w:val="Tabletext"/>
              <w:ind w:right="340"/>
              <w:jc w:val="right"/>
              <w:rPr>
                <w:b/>
              </w:rPr>
            </w:pPr>
            <w:r w:rsidRPr="00A82DF7">
              <w:rPr>
                <w:b/>
              </w:rPr>
              <w:t>100</w:t>
            </w:r>
          </w:p>
        </w:tc>
      </w:tr>
    </w:tbl>
    <w:p w:rsidR="00EE5442" w:rsidRDefault="007969A0" w:rsidP="009400F1">
      <w:pPr>
        <w:pStyle w:val="Source"/>
        <w:rPr>
          <w:rFonts w:eastAsia="Calibri"/>
        </w:rPr>
      </w:pPr>
      <w:r>
        <w:rPr>
          <w:rFonts w:eastAsia="Calibri"/>
        </w:rPr>
        <w:t>Note:</w:t>
      </w:r>
      <w:r w:rsidR="009400F1">
        <w:rPr>
          <w:rFonts w:eastAsia="Calibri"/>
        </w:rPr>
        <w:tab/>
      </w:r>
      <w:r>
        <w:rPr>
          <w:rFonts w:eastAsia="Calibri"/>
        </w:rPr>
        <w:t>Rows may not add to exactly 100</w:t>
      </w:r>
      <w:r w:rsidR="002453AA">
        <w:rPr>
          <w:rFonts w:eastAsia="Calibri"/>
        </w:rPr>
        <w:t>%</w:t>
      </w:r>
      <w:r>
        <w:rPr>
          <w:rFonts w:eastAsia="Calibri"/>
        </w:rPr>
        <w:t xml:space="preserve"> due to rounding.</w:t>
      </w:r>
      <w:r w:rsidR="00EE5442" w:rsidRPr="00EE5442">
        <w:rPr>
          <w:rFonts w:eastAsia="Calibri"/>
        </w:rPr>
        <w:t xml:space="preserve"> </w:t>
      </w:r>
      <w:r w:rsidR="00EE5442" w:rsidRPr="00E5745D">
        <w:rPr>
          <w:rFonts w:eastAsia="Calibri"/>
        </w:rPr>
        <w:t>Total sample size</w:t>
      </w:r>
      <w:r w:rsidR="00EE5442">
        <w:rPr>
          <w:rFonts w:eastAsia="Calibri"/>
        </w:rPr>
        <w:t>, males = 1062.</w:t>
      </w:r>
    </w:p>
    <w:p w:rsidR="00EE5442" w:rsidRDefault="009400F1" w:rsidP="009400F1">
      <w:pPr>
        <w:pStyle w:val="Source"/>
        <w:rPr>
          <w:rFonts w:eastAsia="Calibri"/>
        </w:rPr>
      </w:pPr>
      <w:r>
        <w:rPr>
          <w:rFonts w:eastAsia="Calibri"/>
        </w:rPr>
        <w:t>Source:</w:t>
      </w:r>
      <w:r>
        <w:rPr>
          <w:rFonts w:eastAsia="Calibri"/>
        </w:rPr>
        <w:tab/>
      </w:r>
      <w:r w:rsidR="00EE5442">
        <w:rPr>
          <w:rFonts w:eastAsia="Calibri"/>
        </w:rPr>
        <w:t>LSAY 19</w:t>
      </w:r>
      <w:r w:rsidR="00EE5442" w:rsidRPr="00E5745D">
        <w:rPr>
          <w:rFonts w:eastAsia="Calibri"/>
        </w:rPr>
        <w:t xml:space="preserve">98 cohort, 1999 </w:t>
      </w:r>
      <w:r w:rsidR="00EE5442">
        <w:rPr>
          <w:rFonts w:eastAsia="Calibri"/>
        </w:rPr>
        <w:t xml:space="preserve">and 2009 </w:t>
      </w:r>
      <w:r w:rsidR="00EE5442" w:rsidRPr="00E5745D">
        <w:rPr>
          <w:rFonts w:eastAsia="Calibri"/>
        </w:rPr>
        <w:t>survey</w:t>
      </w:r>
      <w:r w:rsidR="00EE5442">
        <w:rPr>
          <w:rFonts w:eastAsia="Calibri"/>
        </w:rPr>
        <w:t>s</w:t>
      </w:r>
      <w:r w:rsidR="00EE5442" w:rsidRPr="00E5745D">
        <w:rPr>
          <w:rFonts w:eastAsia="Calibri"/>
        </w:rPr>
        <w:t xml:space="preserve">, weighted estimates. </w:t>
      </w:r>
    </w:p>
    <w:p w:rsidR="00B57531" w:rsidRDefault="00B57531" w:rsidP="009400F1">
      <w:pPr>
        <w:pStyle w:val="tabletitle"/>
        <w:rPr>
          <w:rFonts w:eastAsia="Calibri"/>
        </w:rPr>
      </w:pPr>
      <w:bookmarkStart w:id="91" w:name="_Toc377396991"/>
      <w:r w:rsidRPr="00F70A69">
        <w:rPr>
          <w:rFonts w:eastAsia="Calibri"/>
        </w:rPr>
        <w:t xml:space="preserve">Table </w:t>
      </w:r>
      <w:r w:rsidR="00377D20">
        <w:rPr>
          <w:rFonts w:eastAsia="Calibri"/>
        </w:rPr>
        <w:t>1</w:t>
      </w:r>
      <w:r w:rsidR="00EF3801">
        <w:rPr>
          <w:rFonts w:eastAsia="Calibri"/>
        </w:rPr>
        <w:t>4</w:t>
      </w:r>
      <w:r>
        <w:rPr>
          <w:rFonts w:eastAsia="Calibri"/>
        </w:rPr>
        <w:tab/>
      </w:r>
      <w:r w:rsidRPr="00662225">
        <w:rPr>
          <w:rFonts w:eastAsia="Calibri"/>
        </w:rPr>
        <w:t xml:space="preserve">Occupational outcomes at age 25 </w:t>
      </w:r>
      <w:r w:rsidR="00C64242">
        <w:rPr>
          <w:rFonts w:eastAsia="Calibri"/>
        </w:rPr>
        <w:t>years</w:t>
      </w:r>
      <w:r w:rsidR="00C64242" w:rsidRPr="00662225">
        <w:rPr>
          <w:rFonts w:eastAsia="Calibri"/>
        </w:rPr>
        <w:t xml:space="preserve"> </w:t>
      </w:r>
      <w:r w:rsidRPr="00662225">
        <w:rPr>
          <w:rFonts w:eastAsia="Calibri"/>
        </w:rPr>
        <w:t>classified by occupational aspirations at age 15</w:t>
      </w:r>
      <w:r w:rsidR="009400F1">
        <w:rPr>
          <w:rFonts w:eastAsia="Calibri"/>
        </w:rPr>
        <w:t> </w:t>
      </w:r>
      <w:r w:rsidR="00C64242">
        <w:rPr>
          <w:rFonts w:eastAsia="Calibri"/>
        </w:rPr>
        <w:t>years</w:t>
      </w:r>
      <w:r w:rsidRPr="00662225">
        <w:rPr>
          <w:rFonts w:eastAsia="Calibri"/>
        </w:rPr>
        <w:t>, females</w:t>
      </w:r>
      <w:bookmarkEnd w:id="91"/>
    </w:p>
    <w:tbl>
      <w:tblPr>
        <w:tblW w:w="8222" w:type="dxa"/>
        <w:tblInd w:w="113" w:type="dxa"/>
        <w:tblLayout w:type="fixed"/>
        <w:tblCellMar>
          <w:left w:w="113" w:type="dxa"/>
          <w:right w:w="113" w:type="dxa"/>
        </w:tblCellMar>
        <w:tblLook w:val="0000" w:firstRow="0" w:lastRow="0" w:firstColumn="0" w:lastColumn="0" w:noHBand="0" w:noVBand="0"/>
      </w:tblPr>
      <w:tblGrid>
        <w:gridCol w:w="2645"/>
        <w:gridCol w:w="1115"/>
        <w:gridCol w:w="1115"/>
        <w:gridCol w:w="1116"/>
        <w:gridCol w:w="1115"/>
        <w:gridCol w:w="1116"/>
      </w:tblGrid>
      <w:tr w:rsidR="00B57531" w:rsidRPr="00E5745D" w:rsidTr="009400F1">
        <w:tc>
          <w:tcPr>
            <w:tcW w:w="2645" w:type="dxa"/>
            <w:vMerge w:val="restart"/>
            <w:tcBorders>
              <w:top w:val="single" w:sz="4" w:space="0" w:color="auto"/>
            </w:tcBorders>
            <w:shd w:val="clear" w:color="auto" w:fill="auto"/>
          </w:tcPr>
          <w:p w:rsidR="00B57531" w:rsidRDefault="00B57531" w:rsidP="00F13912">
            <w:pPr>
              <w:pStyle w:val="Tablehead1"/>
              <w:rPr>
                <w:rFonts w:eastAsia="Calibri"/>
              </w:rPr>
            </w:pPr>
            <w:r>
              <w:rPr>
                <w:rFonts w:eastAsia="Calibri"/>
              </w:rPr>
              <w:t>Status of job aspired to at</w:t>
            </w:r>
            <w:r w:rsidR="00F13912">
              <w:rPr>
                <w:rFonts w:eastAsia="Calibri"/>
              </w:rPr>
              <w:t> </w:t>
            </w:r>
            <w:r>
              <w:rPr>
                <w:rFonts w:eastAsia="Calibri"/>
              </w:rPr>
              <w:t xml:space="preserve">age 15 </w:t>
            </w:r>
            <w:r w:rsidR="00F13912">
              <w:rPr>
                <w:rFonts w:eastAsia="Calibri"/>
              </w:rPr>
              <w:t xml:space="preserve">years </w:t>
            </w:r>
            <w:r>
              <w:rPr>
                <w:rFonts w:eastAsia="Calibri"/>
              </w:rPr>
              <w:t>(%)</w:t>
            </w:r>
          </w:p>
        </w:tc>
        <w:tc>
          <w:tcPr>
            <w:tcW w:w="5577" w:type="dxa"/>
            <w:gridSpan w:val="5"/>
            <w:tcBorders>
              <w:top w:val="single" w:sz="4" w:space="0" w:color="auto"/>
            </w:tcBorders>
          </w:tcPr>
          <w:p w:rsidR="00B57531" w:rsidRDefault="00B57531" w:rsidP="009400F1">
            <w:pPr>
              <w:pStyle w:val="Tablehead1"/>
              <w:jc w:val="center"/>
              <w:rPr>
                <w:rFonts w:eastAsia="Calibri"/>
              </w:rPr>
            </w:pPr>
            <w:r>
              <w:rPr>
                <w:rFonts w:eastAsia="Calibri"/>
              </w:rPr>
              <w:t>Status of job held at age 25 (%)</w:t>
            </w:r>
          </w:p>
        </w:tc>
      </w:tr>
      <w:tr w:rsidR="00B57531" w:rsidRPr="00E5745D" w:rsidTr="009400F1">
        <w:tc>
          <w:tcPr>
            <w:tcW w:w="2645" w:type="dxa"/>
            <w:vMerge/>
            <w:tcBorders>
              <w:bottom w:val="single" w:sz="4" w:space="0" w:color="auto"/>
            </w:tcBorders>
            <w:shd w:val="clear" w:color="auto" w:fill="auto"/>
          </w:tcPr>
          <w:p w:rsidR="00B57531" w:rsidRPr="00E5745D" w:rsidRDefault="00B57531" w:rsidP="00A038EA">
            <w:pPr>
              <w:tabs>
                <w:tab w:val="left" w:pos="992"/>
              </w:tabs>
              <w:spacing w:before="20" w:after="20" w:line="240" w:lineRule="auto"/>
              <w:rPr>
                <w:rFonts w:ascii="Arial" w:eastAsia="Calibri" w:hAnsi="Arial"/>
                <w:b/>
                <w:sz w:val="17"/>
              </w:rPr>
            </w:pPr>
          </w:p>
        </w:tc>
        <w:tc>
          <w:tcPr>
            <w:tcW w:w="1115" w:type="dxa"/>
            <w:tcBorders>
              <w:bottom w:val="single" w:sz="4" w:space="0" w:color="auto"/>
            </w:tcBorders>
          </w:tcPr>
          <w:p w:rsidR="00B57531" w:rsidRPr="00E5745D" w:rsidRDefault="00B57531" w:rsidP="009400F1">
            <w:pPr>
              <w:pStyle w:val="Tablehead2"/>
              <w:jc w:val="center"/>
              <w:rPr>
                <w:rFonts w:eastAsia="Calibri"/>
              </w:rPr>
            </w:pPr>
            <w:r>
              <w:rPr>
                <w:rFonts w:eastAsia="Calibri"/>
              </w:rPr>
              <w:t>Q1</w:t>
            </w:r>
          </w:p>
        </w:tc>
        <w:tc>
          <w:tcPr>
            <w:tcW w:w="1115" w:type="dxa"/>
            <w:tcBorders>
              <w:bottom w:val="single" w:sz="4" w:space="0" w:color="auto"/>
            </w:tcBorders>
            <w:shd w:val="clear" w:color="auto" w:fill="auto"/>
          </w:tcPr>
          <w:p w:rsidR="00B57531" w:rsidRPr="00E5745D" w:rsidRDefault="00B57531" w:rsidP="009400F1">
            <w:pPr>
              <w:pStyle w:val="Tablehead2"/>
              <w:jc w:val="center"/>
              <w:rPr>
                <w:rFonts w:eastAsia="Calibri"/>
              </w:rPr>
            </w:pPr>
            <w:r>
              <w:rPr>
                <w:rFonts w:eastAsia="Calibri"/>
              </w:rPr>
              <w:t>Q2</w:t>
            </w:r>
          </w:p>
        </w:tc>
        <w:tc>
          <w:tcPr>
            <w:tcW w:w="1116" w:type="dxa"/>
            <w:tcBorders>
              <w:bottom w:val="single" w:sz="4" w:space="0" w:color="auto"/>
            </w:tcBorders>
          </w:tcPr>
          <w:p w:rsidR="00B57531" w:rsidRPr="00E5745D" w:rsidRDefault="00B57531" w:rsidP="009400F1">
            <w:pPr>
              <w:pStyle w:val="Tablehead2"/>
              <w:jc w:val="center"/>
              <w:rPr>
                <w:rFonts w:eastAsia="Calibri"/>
              </w:rPr>
            </w:pPr>
            <w:r>
              <w:rPr>
                <w:rFonts w:eastAsia="Calibri"/>
              </w:rPr>
              <w:t>Q3</w:t>
            </w:r>
          </w:p>
        </w:tc>
        <w:tc>
          <w:tcPr>
            <w:tcW w:w="1115" w:type="dxa"/>
            <w:tcBorders>
              <w:bottom w:val="single" w:sz="4" w:space="0" w:color="auto"/>
            </w:tcBorders>
          </w:tcPr>
          <w:p w:rsidR="00B57531" w:rsidRPr="00E5745D" w:rsidRDefault="00B57531" w:rsidP="009400F1">
            <w:pPr>
              <w:pStyle w:val="Tablehead2"/>
              <w:jc w:val="center"/>
              <w:rPr>
                <w:rFonts w:eastAsia="Calibri"/>
              </w:rPr>
            </w:pPr>
            <w:r>
              <w:rPr>
                <w:rFonts w:eastAsia="Calibri"/>
              </w:rPr>
              <w:t>Q4</w:t>
            </w:r>
          </w:p>
        </w:tc>
        <w:tc>
          <w:tcPr>
            <w:tcW w:w="1116" w:type="dxa"/>
            <w:tcBorders>
              <w:bottom w:val="single" w:sz="4" w:space="0" w:color="auto"/>
            </w:tcBorders>
          </w:tcPr>
          <w:p w:rsidR="00B57531" w:rsidRPr="00E5745D" w:rsidRDefault="00B57531" w:rsidP="009400F1">
            <w:pPr>
              <w:pStyle w:val="Tablehead2"/>
              <w:jc w:val="center"/>
              <w:rPr>
                <w:rFonts w:eastAsia="Calibri"/>
              </w:rPr>
            </w:pPr>
            <w:r>
              <w:rPr>
                <w:rFonts w:eastAsia="Calibri"/>
              </w:rPr>
              <w:t>Total (%)</w:t>
            </w:r>
          </w:p>
        </w:tc>
      </w:tr>
      <w:tr w:rsidR="00B57531" w:rsidRPr="00E5745D" w:rsidTr="009400F1">
        <w:tc>
          <w:tcPr>
            <w:tcW w:w="2645" w:type="dxa"/>
            <w:tcBorders>
              <w:top w:val="single" w:sz="4" w:space="0" w:color="auto"/>
            </w:tcBorders>
            <w:shd w:val="clear" w:color="auto" w:fill="auto"/>
          </w:tcPr>
          <w:p w:rsidR="00B57531" w:rsidRPr="00662225" w:rsidRDefault="00B57531" w:rsidP="00A82DF7">
            <w:pPr>
              <w:pStyle w:val="Tabletext"/>
              <w:rPr>
                <w:rFonts w:eastAsia="Calibri"/>
              </w:rPr>
            </w:pPr>
            <w:r w:rsidRPr="00662225">
              <w:rPr>
                <w:rFonts w:eastAsia="Calibri"/>
              </w:rPr>
              <w:t>Q</w:t>
            </w:r>
            <w:r>
              <w:rPr>
                <w:rFonts w:eastAsia="Calibri"/>
              </w:rPr>
              <w:t>uartile</w:t>
            </w:r>
            <w:r w:rsidRPr="00662225">
              <w:rPr>
                <w:rFonts w:eastAsia="Calibri"/>
              </w:rPr>
              <w:t xml:space="preserve"> 1 (</w:t>
            </w:r>
            <w:r w:rsidR="00A82DF7">
              <w:rPr>
                <w:rFonts w:eastAsia="Calibri"/>
              </w:rPr>
              <w:t>lowest-status)</w:t>
            </w:r>
          </w:p>
        </w:tc>
        <w:tc>
          <w:tcPr>
            <w:tcW w:w="1115" w:type="dxa"/>
            <w:tcBorders>
              <w:top w:val="single" w:sz="4" w:space="0" w:color="auto"/>
            </w:tcBorders>
            <w:shd w:val="clear" w:color="auto" w:fill="D9D9D9" w:themeFill="background1" w:themeFillShade="D9"/>
          </w:tcPr>
          <w:p w:rsidR="00B57531" w:rsidRPr="00534E40" w:rsidRDefault="00B57531" w:rsidP="00F13912">
            <w:pPr>
              <w:pStyle w:val="Tabletext"/>
              <w:ind w:right="397"/>
              <w:jc w:val="right"/>
            </w:pPr>
            <w:r w:rsidRPr="00534E40">
              <w:t>0</w:t>
            </w:r>
          </w:p>
        </w:tc>
        <w:tc>
          <w:tcPr>
            <w:tcW w:w="1115" w:type="dxa"/>
            <w:tcBorders>
              <w:top w:val="single" w:sz="4" w:space="0" w:color="auto"/>
            </w:tcBorders>
            <w:shd w:val="clear" w:color="auto" w:fill="auto"/>
          </w:tcPr>
          <w:p w:rsidR="00B57531" w:rsidRDefault="00B57531" w:rsidP="00F13912">
            <w:pPr>
              <w:pStyle w:val="Tabletext"/>
              <w:ind w:right="369"/>
              <w:jc w:val="right"/>
            </w:pPr>
            <w:r>
              <w:t>77</w:t>
            </w:r>
          </w:p>
        </w:tc>
        <w:tc>
          <w:tcPr>
            <w:tcW w:w="1116" w:type="dxa"/>
            <w:tcBorders>
              <w:top w:val="single" w:sz="4" w:space="0" w:color="auto"/>
            </w:tcBorders>
          </w:tcPr>
          <w:p w:rsidR="00B57531" w:rsidRDefault="00B57531" w:rsidP="00F13912">
            <w:pPr>
              <w:pStyle w:val="Tabletext"/>
              <w:ind w:right="397"/>
              <w:jc w:val="right"/>
            </w:pPr>
            <w:r>
              <w:t>0</w:t>
            </w:r>
          </w:p>
        </w:tc>
        <w:tc>
          <w:tcPr>
            <w:tcW w:w="1115" w:type="dxa"/>
            <w:tcBorders>
              <w:top w:val="single" w:sz="4" w:space="0" w:color="auto"/>
            </w:tcBorders>
          </w:tcPr>
          <w:p w:rsidR="00B57531" w:rsidRDefault="00B57531" w:rsidP="00F13912">
            <w:pPr>
              <w:pStyle w:val="Tabletext"/>
              <w:tabs>
                <w:tab w:val="right" w:pos="582"/>
              </w:tabs>
              <w:ind w:right="397"/>
              <w:jc w:val="right"/>
            </w:pPr>
            <w:r>
              <w:t>24</w:t>
            </w:r>
          </w:p>
        </w:tc>
        <w:tc>
          <w:tcPr>
            <w:tcW w:w="1116" w:type="dxa"/>
            <w:tcBorders>
              <w:top w:val="single" w:sz="4" w:space="0" w:color="auto"/>
            </w:tcBorders>
          </w:tcPr>
          <w:p w:rsidR="00B57531" w:rsidRPr="00A82DF7" w:rsidRDefault="00B57531" w:rsidP="00F13912">
            <w:pPr>
              <w:pStyle w:val="Tabletext"/>
              <w:ind w:right="340"/>
              <w:jc w:val="right"/>
              <w:rPr>
                <w:b/>
              </w:rPr>
            </w:pPr>
            <w:r w:rsidRPr="00A82DF7">
              <w:rPr>
                <w:b/>
              </w:rPr>
              <w:t>100</w:t>
            </w:r>
          </w:p>
        </w:tc>
      </w:tr>
      <w:tr w:rsidR="00B57531" w:rsidRPr="00E5745D" w:rsidTr="009400F1">
        <w:tc>
          <w:tcPr>
            <w:tcW w:w="2645" w:type="dxa"/>
            <w:shd w:val="clear" w:color="auto" w:fill="auto"/>
          </w:tcPr>
          <w:p w:rsidR="00B57531" w:rsidRPr="00662225" w:rsidRDefault="00B57531" w:rsidP="00A038EA">
            <w:pPr>
              <w:pStyle w:val="Tabletext"/>
              <w:rPr>
                <w:rFonts w:eastAsia="Calibri"/>
              </w:rPr>
            </w:pPr>
            <w:r w:rsidRPr="00662225">
              <w:rPr>
                <w:rFonts w:eastAsia="Calibri"/>
              </w:rPr>
              <w:t>Q</w:t>
            </w:r>
            <w:r>
              <w:rPr>
                <w:rFonts w:eastAsia="Calibri"/>
              </w:rPr>
              <w:t>uartile</w:t>
            </w:r>
            <w:r w:rsidRPr="00662225">
              <w:rPr>
                <w:rFonts w:eastAsia="Calibri"/>
              </w:rPr>
              <w:t xml:space="preserve"> 2</w:t>
            </w:r>
          </w:p>
        </w:tc>
        <w:tc>
          <w:tcPr>
            <w:tcW w:w="1115" w:type="dxa"/>
          </w:tcPr>
          <w:p w:rsidR="00B57531" w:rsidRPr="00534E40" w:rsidRDefault="00B57531" w:rsidP="00F13912">
            <w:pPr>
              <w:pStyle w:val="Tabletext"/>
              <w:ind w:right="397"/>
              <w:jc w:val="right"/>
            </w:pPr>
            <w:r w:rsidRPr="00534E40">
              <w:t>6</w:t>
            </w:r>
          </w:p>
        </w:tc>
        <w:tc>
          <w:tcPr>
            <w:tcW w:w="1115" w:type="dxa"/>
            <w:shd w:val="clear" w:color="auto" w:fill="D9D9D9" w:themeFill="background1" w:themeFillShade="D9"/>
          </w:tcPr>
          <w:p w:rsidR="00B57531" w:rsidRDefault="00B57531" w:rsidP="00F13912">
            <w:pPr>
              <w:pStyle w:val="Tabletext"/>
              <w:ind w:right="369"/>
              <w:jc w:val="right"/>
            </w:pPr>
            <w:r>
              <w:t>57</w:t>
            </w:r>
          </w:p>
        </w:tc>
        <w:tc>
          <w:tcPr>
            <w:tcW w:w="1116" w:type="dxa"/>
          </w:tcPr>
          <w:p w:rsidR="00B57531" w:rsidRDefault="00B57531" w:rsidP="00F13912">
            <w:pPr>
              <w:pStyle w:val="Tabletext"/>
              <w:ind w:right="397"/>
              <w:jc w:val="right"/>
            </w:pPr>
            <w:r>
              <w:t>19</w:t>
            </w:r>
          </w:p>
        </w:tc>
        <w:tc>
          <w:tcPr>
            <w:tcW w:w="1115" w:type="dxa"/>
          </w:tcPr>
          <w:p w:rsidR="00B57531" w:rsidRDefault="00B57531" w:rsidP="00F13912">
            <w:pPr>
              <w:pStyle w:val="Tabletext"/>
              <w:tabs>
                <w:tab w:val="right" w:pos="582"/>
              </w:tabs>
              <w:ind w:right="397"/>
              <w:jc w:val="right"/>
            </w:pPr>
            <w:r>
              <w:t>19</w:t>
            </w:r>
          </w:p>
        </w:tc>
        <w:tc>
          <w:tcPr>
            <w:tcW w:w="1116" w:type="dxa"/>
          </w:tcPr>
          <w:p w:rsidR="00B57531" w:rsidRPr="00A82DF7" w:rsidRDefault="00B57531" w:rsidP="00F13912">
            <w:pPr>
              <w:pStyle w:val="Tabletext"/>
              <w:ind w:right="340"/>
              <w:jc w:val="right"/>
              <w:rPr>
                <w:b/>
              </w:rPr>
            </w:pPr>
            <w:r w:rsidRPr="00A82DF7">
              <w:rPr>
                <w:b/>
              </w:rPr>
              <w:t>100</w:t>
            </w:r>
          </w:p>
        </w:tc>
      </w:tr>
      <w:tr w:rsidR="00B57531" w:rsidRPr="00E5745D" w:rsidTr="009400F1">
        <w:tc>
          <w:tcPr>
            <w:tcW w:w="2645" w:type="dxa"/>
            <w:shd w:val="clear" w:color="auto" w:fill="auto"/>
          </w:tcPr>
          <w:p w:rsidR="00B57531" w:rsidRPr="00662225" w:rsidRDefault="00B57531" w:rsidP="00A038EA">
            <w:pPr>
              <w:pStyle w:val="Tabletext"/>
              <w:rPr>
                <w:rFonts w:eastAsia="Calibri"/>
              </w:rPr>
            </w:pPr>
            <w:r w:rsidRPr="00662225">
              <w:rPr>
                <w:rFonts w:eastAsia="Calibri"/>
              </w:rPr>
              <w:t>Q</w:t>
            </w:r>
            <w:r>
              <w:rPr>
                <w:rFonts w:eastAsia="Calibri"/>
              </w:rPr>
              <w:t>uartile</w:t>
            </w:r>
            <w:r w:rsidRPr="00662225">
              <w:rPr>
                <w:rFonts w:eastAsia="Calibri"/>
              </w:rPr>
              <w:t xml:space="preserve"> 3</w:t>
            </w:r>
          </w:p>
        </w:tc>
        <w:tc>
          <w:tcPr>
            <w:tcW w:w="1115" w:type="dxa"/>
          </w:tcPr>
          <w:p w:rsidR="00B57531" w:rsidRDefault="00B57531" w:rsidP="00F13912">
            <w:pPr>
              <w:pStyle w:val="Tabletext"/>
              <w:ind w:right="397"/>
              <w:jc w:val="right"/>
            </w:pPr>
            <w:r>
              <w:t>1</w:t>
            </w:r>
          </w:p>
        </w:tc>
        <w:tc>
          <w:tcPr>
            <w:tcW w:w="1115" w:type="dxa"/>
            <w:shd w:val="clear" w:color="auto" w:fill="auto"/>
          </w:tcPr>
          <w:p w:rsidR="00B57531" w:rsidRDefault="00B57531" w:rsidP="00F13912">
            <w:pPr>
              <w:pStyle w:val="Tabletext"/>
              <w:ind w:right="369"/>
              <w:jc w:val="right"/>
            </w:pPr>
            <w:r>
              <w:t>44</w:t>
            </w:r>
          </w:p>
        </w:tc>
        <w:tc>
          <w:tcPr>
            <w:tcW w:w="1116" w:type="dxa"/>
            <w:shd w:val="clear" w:color="auto" w:fill="D9D9D9" w:themeFill="background1" w:themeFillShade="D9"/>
          </w:tcPr>
          <w:p w:rsidR="00B57531" w:rsidRDefault="00B57531" w:rsidP="00F13912">
            <w:pPr>
              <w:pStyle w:val="Tabletext"/>
              <w:ind w:right="397"/>
              <w:jc w:val="right"/>
            </w:pPr>
            <w:r>
              <w:t>21</w:t>
            </w:r>
          </w:p>
        </w:tc>
        <w:tc>
          <w:tcPr>
            <w:tcW w:w="1115" w:type="dxa"/>
          </w:tcPr>
          <w:p w:rsidR="00B57531" w:rsidRDefault="00B57531" w:rsidP="00F13912">
            <w:pPr>
              <w:pStyle w:val="Tabletext"/>
              <w:tabs>
                <w:tab w:val="right" w:pos="582"/>
              </w:tabs>
              <w:ind w:right="397"/>
              <w:jc w:val="right"/>
            </w:pPr>
            <w:r>
              <w:t>34</w:t>
            </w:r>
          </w:p>
        </w:tc>
        <w:tc>
          <w:tcPr>
            <w:tcW w:w="1116" w:type="dxa"/>
          </w:tcPr>
          <w:p w:rsidR="00B57531" w:rsidRPr="00A82DF7" w:rsidRDefault="00B57531" w:rsidP="00F13912">
            <w:pPr>
              <w:pStyle w:val="Tabletext"/>
              <w:ind w:right="340"/>
              <w:jc w:val="right"/>
              <w:rPr>
                <w:b/>
              </w:rPr>
            </w:pPr>
            <w:r w:rsidRPr="00A82DF7">
              <w:rPr>
                <w:b/>
              </w:rPr>
              <w:t>100</w:t>
            </w:r>
          </w:p>
        </w:tc>
      </w:tr>
      <w:tr w:rsidR="00B57531" w:rsidRPr="00E5745D" w:rsidTr="009400F1">
        <w:tc>
          <w:tcPr>
            <w:tcW w:w="2645" w:type="dxa"/>
            <w:tcBorders>
              <w:bottom w:val="dashed" w:sz="4" w:space="0" w:color="auto"/>
            </w:tcBorders>
            <w:shd w:val="clear" w:color="auto" w:fill="auto"/>
          </w:tcPr>
          <w:p w:rsidR="00B57531" w:rsidRPr="00662225" w:rsidRDefault="00B57531" w:rsidP="00A82DF7">
            <w:pPr>
              <w:pStyle w:val="Tabletext"/>
              <w:rPr>
                <w:rFonts w:eastAsia="Calibri"/>
              </w:rPr>
            </w:pPr>
            <w:r w:rsidRPr="00662225">
              <w:rPr>
                <w:rFonts w:eastAsia="Calibri"/>
              </w:rPr>
              <w:t>Q</w:t>
            </w:r>
            <w:r>
              <w:rPr>
                <w:rFonts w:eastAsia="Calibri"/>
              </w:rPr>
              <w:t>uartile</w:t>
            </w:r>
            <w:r w:rsidRPr="00662225">
              <w:rPr>
                <w:rFonts w:eastAsia="Calibri"/>
              </w:rPr>
              <w:t xml:space="preserve"> 4 (</w:t>
            </w:r>
            <w:r w:rsidR="00A82DF7">
              <w:rPr>
                <w:rFonts w:eastAsia="Calibri"/>
              </w:rPr>
              <w:t>highest-status)</w:t>
            </w:r>
          </w:p>
        </w:tc>
        <w:tc>
          <w:tcPr>
            <w:tcW w:w="1115" w:type="dxa"/>
            <w:tcBorders>
              <w:bottom w:val="dashed" w:sz="4" w:space="0" w:color="auto"/>
            </w:tcBorders>
          </w:tcPr>
          <w:p w:rsidR="00B57531" w:rsidRDefault="00B57531" w:rsidP="00F13912">
            <w:pPr>
              <w:pStyle w:val="Tabletext"/>
              <w:ind w:right="397"/>
              <w:jc w:val="right"/>
            </w:pPr>
            <w:r>
              <w:t>1</w:t>
            </w:r>
          </w:p>
        </w:tc>
        <w:tc>
          <w:tcPr>
            <w:tcW w:w="1115" w:type="dxa"/>
            <w:tcBorders>
              <w:bottom w:val="dashed" w:sz="4" w:space="0" w:color="auto"/>
            </w:tcBorders>
            <w:shd w:val="clear" w:color="auto" w:fill="auto"/>
          </w:tcPr>
          <w:p w:rsidR="00B57531" w:rsidRDefault="00B57531" w:rsidP="00F13912">
            <w:pPr>
              <w:pStyle w:val="Tabletext"/>
              <w:ind w:right="369"/>
              <w:jc w:val="right"/>
            </w:pPr>
            <w:r>
              <w:t>31</w:t>
            </w:r>
          </w:p>
        </w:tc>
        <w:tc>
          <w:tcPr>
            <w:tcW w:w="1116" w:type="dxa"/>
            <w:tcBorders>
              <w:bottom w:val="dashed" w:sz="4" w:space="0" w:color="auto"/>
            </w:tcBorders>
          </w:tcPr>
          <w:p w:rsidR="00B57531" w:rsidRDefault="00B57531" w:rsidP="00F13912">
            <w:pPr>
              <w:pStyle w:val="Tabletext"/>
              <w:ind w:right="397"/>
              <w:jc w:val="right"/>
            </w:pPr>
            <w:r>
              <w:t>1</w:t>
            </w:r>
            <w:r w:rsidR="007969A0">
              <w:t>7</w:t>
            </w:r>
          </w:p>
        </w:tc>
        <w:tc>
          <w:tcPr>
            <w:tcW w:w="1115" w:type="dxa"/>
            <w:tcBorders>
              <w:bottom w:val="dashed" w:sz="4" w:space="0" w:color="auto"/>
            </w:tcBorders>
            <w:shd w:val="clear" w:color="auto" w:fill="D9D9D9" w:themeFill="background1" w:themeFillShade="D9"/>
          </w:tcPr>
          <w:p w:rsidR="00B57531" w:rsidRDefault="00B57531" w:rsidP="00F13912">
            <w:pPr>
              <w:pStyle w:val="Tabletext"/>
              <w:tabs>
                <w:tab w:val="right" w:pos="582"/>
              </w:tabs>
              <w:ind w:right="397"/>
              <w:jc w:val="right"/>
            </w:pPr>
            <w:r>
              <w:t>52</w:t>
            </w:r>
          </w:p>
        </w:tc>
        <w:tc>
          <w:tcPr>
            <w:tcW w:w="1116" w:type="dxa"/>
            <w:tcBorders>
              <w:bottom w:val="dashed" w:sz="4" w:space="0" w:color="auto"/>
            </w:tcBorders>
          </w:tcPr>
          <w:p w:rsidR="00B57531" w:rsidRPr="00A82DF7" w:rsidRDefault="00B57531" w:rsidP="00F13912">
            <w:pPr>
              <w:pStyle w:val="Tabletext"/>
              <w:ind w:right="340"/>
              <w:jc w:val="right"/>
              <w:rPr>
                <w:b/>
              </w:rPr>
            </w:pPr>
            <w:r w:rsidRPr="00A82DF7">
              <w:rPr>
                <w:b/>
              </w:rPr>
              <w:t>100</w:t>
            </w:r>
          </w:p>
        </w:tc>
      </w:tr>
      <w:tr w:rsidR="00B57531" w:rsidRPr="00E5745D" w:rsidTr="009400F1">
        <w:tc>
          <w:tcPr>
            <w:tcW w:w="2645" w:type="dxa"/>
            <w:tcBorders>
              <w:top w:val="dashed" w:sz="4" w:space="0" w:color="auto"/>
              <w:bottom w:val="single" w:sz="4" w:space="0" w:color="auto"/>
            </w:tcBorders>
            <w:shd w:val="clear" w:color="auto" w:fill="auto"/>
          </w:tcPr>
          <w:p w:rsidR="00B57531" w:rsidRPr="00662225" w:rsidRDefault="00B57531" w:rsidP="00A038EA">
            <w:pPr>
              <w:pStyle w:val="Tabletext"/>
              <w:rPr>
                <w:rFonts w:eastAsia="Calibri"/>
              </w:rPr>
            </w:pPr>
            <w:r>
              <w:rPr>
                <w:rFonts w:eastAsia="Calibri"/>
              </w:rPr>
              <w:t>All quartiles</w:t>
            </w:r>
          </w:p>
        </w:tc>
        <w:tc>
          <w:tcPr>
            <w:tcW w:w="1115" w:type="dxa"/>
            <w:tcBorders>
              <w:top w:val="dashed" w:sz="4" w:space="0" w:color="auto"/>
              <w:bottom w:val="single" w:sz="4" w:space="0" w:color="auto"/>
            </w:tcBorders>
          </w:tcPr>
          <w:p w:rsidR="00B57531" w:rsidRPr="007B71ED" w:rsidRDefault="00B57531" w:rsidP="00F13912">
            <w:pPr>
              <w:pStyle w:val="Tabletext"/>
              <w:ind w:right="397"/>
              <w:jc w:val="right"/>
              <w:rPr>
                <w:b/>
              </w:rPr>
            </w:pPr>
            <w:r>
              <w:rPr>
                <w:b/>
              </w:rPr>
              <w:t>2</w:t>
            </w:r>
          </w:p>
        </w:tc>
        <w:tc>
          <w:tcPr>
            <w:tcW w:w="1115" w:type="dxa"/>
            <w:tcBorders>
              <w:top w:val="dashed" w:sz="4" w:space="0" w:color="auto"/>
              <w:bottom w:val="single" w:sz="4" w:space="0" w:color="auto"/>
            </w:tcBorders>
            <w:shd w:val="clear" w:color="auto" w:fill="auto"/>
          </w:tcPr>
          <w:p w:rsidR="00B57531" w:rsidRPr="007B71ED" w:rsidRDefault="00B57531" w:rsidP="00F13912">
            <w:pPr>
              <w:pStyle w:val="Tabletext"/>
              <w:ind w:right="369"/>
              <w:jc w:val="right"/>
              <w:rPr>
                <w:b/>
              </w:rPr>
            </w:pPr>
            <w:r>
              <w:rPr>
                <w:b/>
              </w:rPr>
              <w:t>41</w:t>
            </w:r>
          </w:p>
        </w:tc>
        <w:tc>
          <w:tcPr>
            <w:tcW w:w="1116" w:type="dxa"/>
            <w:tcBorders>
              <w:top w:val="dashed" w:sz="4" w:space="0" w:color="auto"/>
              <w:bottom w:val="single" w:sz="4" w:space="0" w:color="auto"/>
            </w:tcBorders>
          </w:tcPr>
          <w:p w:rsidR="00B57531" w:rsidRPr="007B71ED" w:rsidRDefault="00B57531" w:rsidP="00F13912">
            <w:pPr>
              <w:pStyle w:val="Tabletext"/>
              <w:ind w:right="397"/>
              <w:jc w:val="right"/>
              <w:rPr>
                <w:b/>
              </w:rPr>
            </w:pPr>
            <w:r>
              <w:rPr>
                <w:b/>
              </w:rPr>
              <w:t>18</w:t>
            </w:r>
          </w:p>
        </w:tc>
        <w:tc>
          <w:tcPr>
            <w:tcW w:w="1115" w:type="dxa"/>
            <w:tcBorders>
              <w:top w:val="dashed" w:sz="4" w:space="0" w:color="auto"/>
              <w:bottom w:val="single" w:sz="4" w:space="0" w:color="auto"/>
            </w:tcBorders>
          </w:tcPr>
          <w:p w:rsidR="00B57531" w:rsidRPr="007B71ED" w:rsidRDefault="00B57531" w:rsidP="00F13912">
            <w:pPr>
              <w:pStyle w:val="Tabletext"/>
              <w:tabs>
                <w:tab w:val="right" w:pos="582"/>
              </w:tabs>
              <w:ind w:right="397"/>
              <w:jc w:val="right"/>
              <w:rPr>
                <w:b/>
              </w:rPr>
            </w:pPr>
            <w:r>
              <w:rPr>
                <w:b/>
              </w:rPr>
              <w:t>39</w:t>
            </w:r>
          </w:p>
        </w:tc>
        <w:tc>
          <w:tcPr>
            <w:tcW w:w="1116" w:type="dxa"/>
            <w:tcBorders>
              <w:top w:val="dashed" w:sz="4" w:space="0" w:color="auto"/>
              <w:bottom w:val="single" w:sz="4" w:space="0" w:color="auto"/>
            </w:tcBorders>
          </w:tcPr>
          <w:p w:rsidR="00B57531" w:rsidRPr="00A82DF7" w:rsidRDefault="00B57531" w:rsidP="00F13912">
            <w:pPr>
              <w:pStyle w:val="Tabletext"/>
              <w:ind w:right="340"/>
              <w:jc w:val="right"/>
              <w:rPr>
                <w:b/>
              </w:rPr>
            </w:pPr>
            <w:r w:rsidRPr="00A82DF7">
              <w:rPr>
                <w:b/>
              </w:rPr>
              <w:t>100</w:t>
            </w:r>
          </w:p>
        </w:tc>
      </w:tr>
    </w:tbl>
    <w:p w:rsidR="00EE5442" w:rsidRPr="009400F1" w:rsidRDefault="00EE5442" w:rsidP="009400F1">
      <w:pPr>
        <w:pStyle w:val="Source"/>
        <w:rPr>
          <w:rFonts w:eastAsia="Calibri"/>
        </w:rPr>
      </w:pPr>
      <w:r>
        <w:rPr>
          <w:rFonts w:eastAsia="Calibri"/>
        </w:rPr>
        <w:t>Note:</w:t>
      </w:r>
      <w:r w:rsidR="009400F1">
        <w:rPr>
          <w:rFonts w:eastAsia="Calibri"/>
        </w:rPr>
        <w:tab/>
      </w:r>
      <w:r>
        <w:rPr>
          <w:rFonts w:eastAsia="Calibri"/>
        </w:rPr>
        <w:t xml:space="preserve">Rows may not add </w:t>
      </w:r>
      <w:r w:rsidRPr="009400F1">
        <w:rPr>
          <w:rFonts w:eastAsia="Calibri"/>
        </w:rPr>
        <w:t>to exactly 100% due to rounding. Total sample size, females = 1108.</w:t>
      </w:r>
    </w:p>
    <w:p w:rsidR="00B57531" w:rsidRDefault="009400F1" w:rsidP="009400F1">
      <w:pPr>
        <w:pStyle w:val="Source"/>
        <w:rPr>
          <w:rFonts w:eastAsia="Calibri"/>
        </w:rPr>
      </w:pPr>
      <w:r>
        <w:rPr>
          <w:rFonts w:eastAsia="Calibri"/>
        </w:rPr>
        <w:t>Source:</w:t>
      </w:r>
      <w:r>
        <w:rPr>
          <w:rFonts w:eastAsia="Calibri"/>
        </w:rPr>
        <w:tab/>
      </w:r>
      <w:r w:rsidR="00E51F2F" w:rsidRPr="009400F1">
        <w:rPr>
          <w:rFonts w:eastAsia="Calibri"/>
        </w:rPr>
        <w:t>LSAY 19</w:t>
      </w:r>
      <w:r w:rsidR="00B57531" w:rsidRPr="009400F1">
        <w:rPr>
          <w:rFonts w:eastAsia="Calibri"/>
        </w:rPr>
        <w:t>98 cohort,</w:t>
      </w:r>
      <w:r w:rsidR="00B57531" w:rsidRPr="00E5745D">
        <w:rPr>
          <w:rFonts w:eastAsia="Calibri"/>
        </w:rPr>
        <w:t xml:space="preserve"> 1999 </w:t>
      </w:r>
      <w:r w:rsidR="00B57531">
        <w:rPr>
          <w:rFonts w:eastAsia="Calibri"/>
        </w:rPr>
        <w:t xml:space="preserve">and 2009 </w:t>
      </w:r>
      <w:r w:rsidR="00B57531" w:rsidRPr="00E5745D">
        <w:rPr>
          <w:rFonts w:eastAsia="Calibri"/>
        </w:rPr>
        <w:t>survey</w:t>
      </w:r>
      <w:r w:rsidR="00B57531">
        <w:rPr>
          <w:rFonts w:eastAsia="Calibri"/>
        </w:rPr>
        <w:t>s</w:t>
      </w:r>
      <w:r w:rsidR="00B57531" w:rsidRPr="00E5745D">
        <w:rPr>
          <w:rFonts w:eastAsia="Calibri"/>
        </w:rPr>
        <w:t xml:space="preserve">, weighted estimates. </w:t>
      </w:r>
    </w:p>
    <w:p w:rsidR="00176008" w:rsidRDefault="00176008" w:rsidP="00F13912">
      <w:pPr>
        <w:pStyle w:val="Textmorebefore"/>
        <w:rPr>
          <w:rFonts w:eastAsia="Calibri"/>
        </w:rPr>
      </w:pPr>
      <w:r>
        <w:rPr>
          <w:rFonts w:eastAsia="Calibri"/>
        </w:rPr>
        <w:t>The information provided in tables 1</w:t>
      </w:r>
      <w:r w:rsidR="00EF3801">
        <w:rPr>
          <w:rFonts w:eastAsia="Calibri"/>
        </w:rPr>
        <w:t>3</w:t>
      </w:r>
      <w:r>
        <w:rPr>
          <w:rFonts w:eastAsia="Calibri"/>
        </w:rPr>
        <w:t xml:space="preserve"> and 1</w:t>
      </w:r>
      <w:r w:rsidR="00EF3801">
        <w:rPr>
          <w:rFonts w:eastAsia="Calibri"/>
        </w:rPr>
        <w:t>4</w:t>
      </w:r>
      <w:r>
        <w:rPr>
          <w:rFonts w:eastAsia="Calibri"/>
        </w:rPr>
        <w:t xml:space="preserve"> shows that there is </w:t>
      </w:r>
      <w:r w:rsidR="00534E40">
        <w:rPr>
          <w:rFonts w:eastAsia="Calibri"/>
        </w:rPr>
        <w:t xml:space="preserve">only </w:t>
      </w:r>
      <w:r>
        <w:rPr>
          <w:rFonts w:eastAsia="Calibri"/>
        </w:rPr>
        <w:t>a moderate</w:t>
      </w:r>
      <w:r w:rsidR="00A055E7">
        <w:rPr>
          <w:rFonts w:eastAsia="Calibri"/>
        </w:rPr>
        <w:t xml:space="preserve"> relationship between aspirations at age 15 </w:t>
      </w:r>
      <w:r w:rsidR="00C64242">
        <w:rPr>
          <w:rFonts w:eastAsia="Calibri"/>
        </w:rPr>
        <w:t xml:space="preserve">years </w:t>
      </w:r>
      <w:r w:rsidR="00A055E7">
        <w:rPr>
          <w:rFonts w:eastAsia="Calibri"/>
        </w:rPr>
        <w:t xml:space="preserve">and </w:t>
      </w:r>
      <w:r w:rsidR="000772F7">
        <w:rPr>
          <w:rFonts w:eastAsia="Calibri"/>
        </w:rPr>
        <w:t>actual</w:t>
      </w:r>
      <w:r w:rsidR="00A055E7">
        <w:rPr>
          <w:rFonts w:eastAsia="Calibri"/>
        </w:rPr>
        <w:t xml:space="preserve"> job at age </w:t>
      </w:r>
      <w:r>
        <w:rPr>
          <w:rFonts w:eastAsia="Calibri"/>
        </w:rPr>
        <w:t xml:space="preserve">25 years. </w:t>
      </w:r>
      <w:r w:rsidR="009D79DE">
        <w:rPr>
          <w:rFonts w:eastAsia="Calibri"/>
        </w:rPr>
        <w:t xml:space="preserve">For example, </w:t>
      </w:r>
      <w:r w:rsidR="00534E40">
        <w:rPr>
          <w:rFonts w:eastAsia="Calibri"/>
        </w:rPr>
        <w:t>only 39</w:t>
      </w:r>
      <w:r w:rsidR="002453AA">
        <w:rPr>
          <w:rFonts w:eastAsia="Calibri"/>
        </w:rPr>
        <w:t>%</w:t>
      </w:r>
      <w:r w:rsidR="009D79DE">
        <w:rPr>
          <w:rFonts w:eastAsia="Calibri"/>
        </w:rPr>
        <w:t xml:space="preserve"> of males and </w:t>
      </w:r>
      <w:r w:rsidR="00534E40">
        <w:rPr>
          <w:rFonts w:eastAsia="Calibri"/>
        </w:rPr>
        <w:t>52</w:t>
      </w:r>
      <w:r w:rsidR="002453AA">
        <w:rPr>
          <w:rFonts w:eastAsia="Calibri"/>
        </w:rPr>
        <w:t>%</w:t>
      </w:r>
      <w:r w:rsidR="009D79DE">
        <w:rPr>
          <w:rFonts w:eastAsia="Calibri"/>
        </w:rPr>
        <w:t xml:space="preserve"> of </w:t>
      </w:r>
      <w:r w:rsidR="00C64242">
        <w:rPr>
          <w:rFonts w:eastAsia="Calibri"/>
        </w:rPr>
        <w:t xml:space="preserve">females who </w:t>
      </w:r>
      <w:r w:rsidR="0062341E">
        <w:rPr>
          <w:rFonts w:eastAsia="Calibri"/>
        </w:rPr>
        <w:t>aspired to</w:t>
      </w:r>
      <w:r w:rsidR="00C64242">
        <w:rPr>
          <w:rFonts w:eastAsia="Calibri"/>
        </w:rPr>
        <w:t xml:space="preserve"> top-</w:t>
      </w:r>
      <w:r w:rsidR="009D79DE">
        <w:rPr>
          <w:rFonts w:eastAsia="Calibri"/>
        </w:rPr>
        <w:t>quartile jobs achieve</w:t>
      </w:r>
      <w:r w:rsidR="00534E40">
        <w:rPr>
          <w:rFonts w:eastAsia="Calibri"/>
        </w:rPr>
        <w:t>d</w:t>
      </w:r>
      <w:r w:rsidR="009D79DE">
        <w:rPr>
          <w:rFonts w:eastAsia="Calibri"/>
        </w:rPr>
        <w:t xml:space="preserve"> such a job at age 25</w:t>
      </w:r>
      <w:r w:rsidR="00EE5442">
        <w:rPr>
          <w:rFonts w:eastAsia="Calibri"/>
        </w:rPr>
        <w:t xml:space="preserve"> years</w:t>
      </w:r>
      <w:r w:rsidR="009D79DE">
        <w:rPr>
          <w:rFonts w:eastAsia="Calibri"/>
        </w:rPr>
        <w:t>.</w:t>
      </w:r>
      <w:r w:rsidR="000772F7">
        <w:rPr>
          <w:rFonts w:eastAsia="Calibri"/>
        </w:rPr>
        <w:t xml:space="preserve"> On the other hand</w:t>
      </w:r>
      <w:r>
        <w:rPr>
          <w:rFonts w:eastAsia="Calibri"/>
        </w:rPr>
        <w:t>,</w:t>
      </w:r>
      <w:r w:rsidR="000772F7">
        <w:rPr>
          <w:rFonts w:eastAsia="Calibri"/>
        </w:rPr>
        <w:t xml:space="preserve"> considerable numbers of individuals achieve</w:t>
      </w:r>
      <w:r w:rsidR="00534E40">
        <w:rPr>
          <w:rFonts w:eastAsia="Calibri"/>
        </w:rPr>
        <w:t>d</w:t>
      </w:r>
      <w:r w:rsidR="000772F7">
        <w:rPr>
          <w:rFonts w:eastAsia="Calibri"/>
        </w:rPr>
        <w:t xml:space="preserve"> a job </w:t>
      </w:r>
      <w:r w:rsidR="00534E40">
        <w:rPr>
          <w:rFonts w:eastAsia="Calibri"/>
        </w:rPr>
        <w:t>with</w:t>
      </w:r>
      <w:r w:rsidR="000772F7">
        <w:rPr>
          <w:rFonts w:eastAsia="Calibri"/>
        </w:rPr>
        <w:t xml:space="preserve"> </w:t>
      </w:r>
      <w:r>
        <w:rPr>
          <w:rFonts w:eastAsia="Calibri"/>
        </w:rPr>
        <w:t xml:space="preserve">a </w:t>
      </w:r>
      <w:r w:rsidR="000772F7">
        <w:rPr>
          <w:rFonts w:eastAsia="Calibri"/>
        </w:rPr>
        <w:t xml:space="preserve">higher status than the one </w:t>
      </w:r>
      <w:r w:rsidR="00B938FC">
        <w:rPr>
          <w:rFonts w:eastAsia="Calibri"/>
        </w:rPr>
        <w:t xml:space="preserve">to which </w:t>
      </w:r>
      <w:r w:rsidR="000772F7">
        <w:rPr>
          <w:rFonts w:eastAsia="Calibri"/>
        </w:rPr>
        <w:t>the</w:t>
      </w:r>
      <w:r w:rsidR="00701DA1">
        <w:rPr>
          <w:rFonts w:eastAsia="Calibri"/>
        </w:rPr>
        <w:t>y</w:t>
      </w:r>
      <w:r w:rsidR="000772F7">
        <w:rPr>
          <w:rFonts w:eastAsia="Calibri"/>
        </w:rPr>
        <w:t xml:space="preserve"> </w:t>
      </w:r>
      <w:r w:rsidR="00534E40">
        <w:rPr>
          <w:rFonts w:eastAsia="Calibri"/>
        </w:rPr>
        <w:t xml:space="preserve">had </w:t>
      </w:r>
      <w:r>
        <w:rPr>
          <w:rFonts w:eastAsia="Calibri"/>
        </w:rPr>
        <w:t xml:space="preserve">originally </w:t>
      </w:r>
      <w:r w:rsidR="00B938FC">
        <w:rPr>
          <w:rFonts w:eastAsia="Calibri"/>
        </w:rPr>
        <w:t xml:space="preserve">aspired </w:t>
      </w:r>
      <w:r w:rsidR="009D79DE">
        <w:rPr>
          <w:rFonts w:eastAsia="Calibri"/>
        </w:rPr>
        <w:t>(</w:t>
      </w:r>
      <w:r w:rsidR="00EE5442">
        <w:rPr>
          <w:rFonts w:eastAsia="Calibri"/>
        </w:rPr>
        <w:t>for example,</w:t>
      </w:r>
      <w:r w:rsidR="009D79DE">
        <w:rPr>
          <w:rFonts w:eastAsia="Calibri"/>
        </w:rPr>
        <w:t xml:space="preserve"> 34</w:t>
      </w:r>
      <w:r w:rsidR="002453AA">
        <w:rPr>
          <w:rFonts w:eastAsia="Calibri"/>
        </w:rPr>
        <w:t>%</w:t>
      </w:r>
      <w:r w:rsidR="009D79DE">
        <w:rPr>
          <w:rFonts w:eastAsia="Calibri"/>
        </w:rPr>
        <w:t xml:space="preserve"> of females </w:t>
      </w:r>
      <w:r w:rsidR="00534E40">
        <w:rPr>
          <w:rFonts w:eastAsia="Calibri"/>
        </w:rPr>
        <w:t>had aspired</w:t>
      </w:r>
      <w:r w:rsidR="009D79DE">
        <w:rPr>
          <w:rFonts w:eastAsia="Calibri"/>
        </w:rPr>
        <w:t xml:space="preserve"> to a quartile 3 job actually achieve</w:t>
      </w:r>
      <w:r w:rsidR="00C64242">
        <w:rPr>
          <w:rFonts w:eastAsia="Calibri"/>
        </w:rPr>
        <w:t>d</w:t>
      </w:r>
      <w:r w:rsidR="009D79DE">
        <w:rPr>
          <w:rFonts w:eastAsia="Calibri"/>
        </w:rPr>
        <w:t xml:space="preserve"> a quartile 4 job)</w:t>
      </w:r>
      <w:r w:rsidR="000772F7">
        <w:rPr>
          <w:rFonts w:eastAsia="Calibri"/>
        </w:rPr>
        <w:t>.</w:t>
      </w:r>
    </w:p>
    <w:p w:rsidR="0062341E" w:rsidRDefault="007969A0" w:rsidP="0062341E">
      <w:pPr>
        <w:pStyle w:val="Text"/>
        <w:rPr>
          <w:rFonts w:eastAsia="Calibri"/>
        </w:rPr>
      </w:pPr>
      <w:r>
        <w:rPr>
          <w:rFonts w:eastAsia="Calibri"/>
        </w:rPr>
        <w:t xml:space="preserve">Comparing the genders, a </w:t>
      </w:r>
      <w:r w:rsidR="0062341E">
        <w:rPr>
          <w:rFonts w:eastAsia="Calibri"/>
        </w:rPr>
        <w:t>considerably</w:t>
      </w:r>
      <w:r>
        <w:rPr>
          <w:rFonts w:eastAsia="Calibri"/>
        </w:rPr>
        <w:t xml:space="preserve"> greater proportion of women who </w:t>
      </w:r>
      <w:r w:rsidR="0062341E">
        <w:rPr>
          <w:rFonts w:eastAsia="Calibri"/>
        </w:rPr>
        <w:t>aspired</w:t>
      </w:r>
      <w:r>
        <w:rPr>
          <w:rFonts w:eastAsia="Calibri"/>
        </w:rPr>
        <w:t xml:space="preserve"> to quartile 4 jobs achieved such a job. That is, 52</w:t>
      </w:r>
      <w:r w:rsidR="002453AA">
        <w:rPr>
          <w:rFonts w:eastAsia="Calibri"/>
        </w:rPr>
        <w:t>%</w:t>
      </w:r>
      <w:r>
        <w:rPr>
          <w:rFonts w:eastAsia="Calibri"/>
        </w:rPr>
        <w:t xml:space="preserve"> of women who aimed for a quartile 4 job </w:t>
      </w:r>
      <w:r w:rsidR="00C64242">
        <w:rPr>
          <w:rFonts w:eastAsia="Calibri"/>
        </w:rPr>
        <w:t xml:space="preserve">had </w:t>
      </w:r>
      <w:r>
        <w:rPr>
          <w:rFonts w:eastAsia="Calibri"/>
        </w:rPr>
        <w:t>achieved their aims by age 25</w:t>
      </w:r>
      <w:r w:rsidR="00EE5442">
        <w:rPr>
          <w:rFonts w:eastAsia="Calibri"/>
        </w:rPr>
        <w:t xml:space="preserve"> years</w:t>
      </w:r>
      <w:r>
        <w:rPr>
          <w:rFonts w:eastAsia="Calibri"/>
        </w:rPr>
        <w:t xml:space="preserve">, compared </w:t>
      </w:r>
      <w:r w:rsidR="00DF6F4A">
        <w:rPr>
          <w:rFonts w:eastAsia="Calibri"/>
        </w:rPr>
        <w:t>with</w:t>
      </w:r>
      <w:r>
        <w:rPr>
          <w:rFonts w:eastAsia="Calibri"/>
        </w:rPr>
        <w:t xml:space="preserve"> 39</w:t>
      </w:r>
      <w:r w:rsidR="002453AA">
        <w:rPr>
          <w:rFonts w:eastAsia="Calibri"/>
        </w:rPr>
        <w:t>%</w:t>
      </w:r>
      <w:r>
        <w:rPr>
          <w:rFonts w:eastAsia="Calibri"/>
        </w:rPr>
        <w:t xml:space="preserve"> of males. </w:t>
      </w:r>
    </w:p>
    <w:p w:rsidR="0062341E" w:rsidRDefault="0062341E" w:rsidP="0062341E">
      <w:pPr>
        <w:pStyle w:val="Text"/>
      </w:pPr>
      <w:r>
        <w:t xml:space="preserve">Overall, the analysis suggests only a loose relationship between original aspirations at age 15 </w:t>
      </w:r>
      <w:r>
        <w:rPr>
          <w:rFonts w:eastAsia="Calibri"/>
        </w:rPr>
        <w:t>years</w:t>
      </w:r>
      <w:r>
        <w:t xml:space="preserve"> and the actual job obtained at age 25 </w:t>
      </w:r>
      <w:r>
        <w:rPr>
          <w:rFonts w:eastAsia="Calibri"/>
        </w:rPr>
        <w:t>years</w:t>
      </w:r>
      <w:r>
        <w:t>.</w:t>
      </w:r>
    </w:p>
    <w:p w:rsidR="00E51F2F" w:rsidRDefault="0062341E" w:rsidP="00E51F2F">
      <w:pPr>
        <w:pStyle w:val="Heading2"/>
      </w:pPr>
      <w:bookmarkStart w:id="92" w:name="_Toc380048253"/>
      <w:r>
        <w:t>Limitations</w:t>
      </w:r>
      <w:bookmarkEnd w:id="92"/>
    </w:p>
    <w:p w:rsidR="00900781" w:rsidRDefault="00900781" w:rsidP="00900781">
      <w:pPr>
        <w:pStyle w:val="Text"/>
      </w:pPr>
      <w:r>
        <w:t xml:space="preserve">A few remarks </w:t>
      </w:r>
      <w:r w:rsidR="0032640F">
        <w:t xml:space="preserve">about </w:t>
      </w:r>
      <w:r>
        <w:t xml:space="preserve">the limitations of </w:t>
      </w:r>
      <w:r w:rsidR="00B37F0A">
        <w:t xml:space="preserve">these types of </w:t>
      </w:r>
      <w:r>
        <w:t>comparison</w:t>
      </w:r>
      <w:r w:rsidR="00B37F0A">
        <w:t>s</w:t>
      </w:r>
      <w:r>
        <w:t xml:space="preserve"> </w:t>
      </w:r>
      <w:r w:rsidR="00DF6F4A">
        <w:t xml:space="preserve">— </w:t>
      </w:r>
      <w:r>
        <w:t>between the job aspired to and the job achieved</w:t>
      </w:r>
      <w:r w:rsidR="0032640F" w:rsidRPr="0032640F">
        <w:t xml:space="preserve"> </w:t>
      </w:r>
      <w:r w:rsidR="00DF6F4A">
        <w:t xml:space="preserve">— </w:t>
      </w:r>
      <w:r w:rsidR="0032640F">
        <w:t>are in order</w:t>
      </w:r>
      <w:r w:rsidR="00C64242">
        <w:t>. First, people change:</w:t>
      </w:r>
      <w:r>
        <w:t xml:space="preserve"> it could be that, sometime beyond age 15</w:t>
      </w:r>
      <w:r w:rsidR="0032640F">
        <w:t xml:space="preserve"> </w:t>
      </w:r>
      <w:r w:rsidR="0032640F">
        <w:rPr>
          <w:rFonts w:eastAsia="Calibri"/>
        </w:rPr>
        <w:t>years</w:t>
      </w:r>
      <w:r>
        <w:t xml:space="preserve">, a student </w:t>
      </w:r>
      <w:r>
        <w:rPr>
          <w:i/>
        </w:rPr>
        <w:t>altered</w:t>
      </w:r>
      <w:r>
        <w:t xml:space="preserve"> their occupational aspirations and did in fact achieve their new goal. Second, </w:t>
      </w:r>
      <w:r>
        <w:lastRenderedPageBreak/>
        <w:t xml:space="preserve">the occupational aspirations reported by students at age 15 </w:t>
      </w:r>
      <w:r w:rsidR="0032640F">
        <w:rPr>
          <w:rFonts w:eastAsia="Calibri"/>
        </w:rPr>
        <w:t>years</w:t>
      </w:r>
      <w:r w:rsidR="0032640F">
        <w:t xml:space="preserve"> </w:t>
      </w:r>
      <w:r>
        <w:t>may not have been given much thought, and hence not be a reliable benchmark against which to compare their actual occupations down the track. Indeed, a UK study by White (2007) found that about a third of students</w:t>
      </w:r>
      <w:r w:rsidR="00DF6F4A">
        <w:t xml:space="preserve"> at age 15 </w:t>
      </w:r>
      <w:r w:rsidR="00DF6F4A">
        <w:rPr>
          <w:rFonts w:eastAsia="Calibri"/>
        </w:rPr>
        <w:t>years</w:t>
      </w:r>
      <w:r>
        <w:t xml:space="preserve"> had not devoted much thought to their occupational plans. Third, it could be that age 25 </w:t>
      </w:r>
      <w:r w:rsidR="0032640F">
        <w:rPr>
          <w:rFonts w:eastAsia="Calibri"/>
        </w:rPr>
        <w:t>years</w:t>
      </w:r>
      <w:r w:rsidR="0032640F">
        <w:t xml:space="preserve"> </w:t>
      </w:r>
      <w:r>
        <w:t xml:space="preserve">is too young </w:t>
      </w:r>
      <w:r w:rsidR="00C64242">
        <w:t>for</w:t>
      </w:r>
      <w:r>
        <w:t xml:space="preserve"> draw</w:t>
      </w:r>
      <w:r w:rsidR="00C64242">
        <w:t>ing</w:t>
      </w:r>
      <w:r>
        <w:t xml:space="preserve"> a meaningful conclusion </w:t>
      </w:r>
      <w:r w:rsidR="00DF6F4A">
        <w:t>on</w:t>
      </w:r>
      <w:r>
        <w:t xml:space="preserve"> whether the ‘dream job’ was achieved. The student may in fact achieve their dream job (in terms of status), but at a later age. </w:t>
      </w:r>
      <w:r w:rsidR="00E51F2F">
        <w:t>Post-school transitions are taking longer than in the past, and an increasing number of young people may not have</w:t>
      </w:r>
      <w:r>
        <w:t xml:space="preserve"> attain</w:t>
      </w:r>
      <w:r w:rsidR="00E51F2F">
        <w:t>ed</w:t>
      </w:r>
      <w:r>
        <w:t xml:space="preserve"> their highest-status job by age 25</w:t>
      </w:r>
      <w:r w:rsidR="0032640F">
        <w:t xml:space="preserve"> </w:t>
      </w:r>
      <w:r w:rsidR="0032640F">
        <w:rPr>
          <w:rFonts w:eastAsia="Calibri"/>
        </w:rPr>
        <w:t>years</w:t>
      </w:r>
      <w:r>
        <w:t>.</w:t>
      </w:r>
    </w:p>
    <w:p w:rsidR="00B66B71" w:rsidRDefault="00900781" w:rsidP="00900781">
      <w:pPr>
        <w:pStyle w:val="Text"/>
      </w:pPr>
      <w:r>
        <w:t>It is also worth pointing out that</w:t>
      </w:r>
      <w:r w:rsidR="00742DC5">
        <w:t>,</w:t>
      </w:r>
      <w:r>
        <w:t xml:space="preserve"> by wave 12 of the </w:t>
      </w:r>
      <w:r w:rsidR="00B66B71">
        <w:t xml:space="preserve">1998 LSAY </w:t>
      </w:r>
      <w:r>
        <w:t>survey (</w:t>
      </w:r>
      <w:r w:rsidR="0032640F">
        <w:t>that is,</w:t>
      </w:r>
      <w:r w:rsidR="00B66B71">
        <w:t xml:space="preserve"> in the year </w:t>
      </w:r>
      <w:r>
        <w:t>2009), the response rate (with respect to the sample size of wave 1) had dropped to 25%. It is possible that those students who dropped out are significantly different (in terms of whether they achieve</w:t>
      </w:r>
      <w:r w:rsidR="00DF6F4A">
        <w:t>d</w:t>
      </w:r>
      <w:r>
        <w:t xml:space="preserve"> their occupational aspirations) from those who remained in the survey. Although </w:t>
      </w:r>
      <w:r w:rsidR="00B66B71">
        <w:t>appropriate analysis</w:t>
      </w:r>
      <w:r>
        <w:t xml:space="preserve"> weights </w:t>
      </w:r>
      <w:r w:rsidR="00B66B71">
        <w:t>were used</w:t>
      </w:r>
      <w:r>
        <w:t xml:space="preserve"> </w:t>
      </w:r>
      <w:r w:rsidR="005F5546">
        <w:t xml:space="preserve">to </w:t>
      </w:r>
      <w:r>
        <w:t>counteract the effects of attrition to some extent</w:t>
      </w:r>
      <w:r w:rsidRPr="0063554F">
        <w:t>, weighting the responses of those who remain in the sample may not be equivalent to</w:t>
      </w:r>
      <w:r>
        <w:t xml:space="preserve"> </w:t>
      </w:r>
      <w:r w:rsidR="00742DC5">
        <w:t>the situation had</w:t>
      </w:r>
      <w:r>
        <w:t xml:space="preserve"> those who ha</w:t>
      </w:r>
      <w:r w:rsidRPr="0063554F">
        <w:t xml:space="preserve">d dropped out still </w:t>
      </w:r>
      <w:r w:rsidR="00742DC5">
        <w:t xml:space="preserve">been </w:t>
      </w:r>
      <w:r w:rsidRPr="0063554F">
        <w:t>present</w:t>
      </w:r>
      <w:r>
        <w:t>.</w:t>
      </w:r>
    </w:p>
    <w:p w:rsidR="00701DA1" w:rsidRDefault="00701DA1" w:rsidP="00663380">
      <w:pPr>
        <w:pStyle w:val="Text"/>
        <w:rPr>
          <w:kern w:val="28"/>
        </w:rPr>
      </w:pPr>
    </w:p>
    <w:p w:rsidR="006841F2" w:rsidRDefault="006841F2" w:rsidP="00663380">
      <w:pPr>
        <w:pStyle w:val="Text"/>
        <w:rPr>
          <w:kern w:val="28"/>
        </w:rPr>
      </w:pPr>
      <w:r>
        <w:br w:type="page"/>
      </w:r>
    </w:p>
    <w:p w:rsidR="00662934" w:rsidRPr="00477E9D" w:rsidRDefault="00477E9D" w:rsidP="000D5FCC">
      <w:pPr>
        <w:pStyle w:val="Heading1"/>
      </w:pPr>
      <w:bookmarkStart w:id="93" w:name="_Toc380048254"/>
      <w:r>
        <w:lastRenderedPageBreak/>
        <w:t>Conclusion</w:t>
      </w:r>
      <w:bookmarkEnd w:id="93"/>
    </w:p>
    <w:p w:rsidR="00EB7C4C" w:rsidRDefault="00650630" w:rsidP="00EB7C4C">
      <w:pPr>
        <w:pStyle w:val="Text"/>
      </w:pPr>
      <w:r>
        <w:t>An</w:t>
      </w:r>
      <w:r w:rsidR="005E3F55">
        <w:t xml:space="preserve"> </w:t>
      </w:r>
      <w:r w:rsidR="00272E72">
        <w:t>initial</w:t>
      </w:r>
      <w:r>
        <w:t xml:space="preserve"> analysis of </w:t>
      </w:r>
      <w:r w:rsidR="0032640F">
        <w:t xml:space="preserve">the </w:t>
      </w:r>
      <w:r>
        <w:t>factors that impact</w:t>
      </w:r>
      <w:r w:rsidR="00B30EA2">
        <w:t xml:space="preserve"> o</w:t>
      </w:r>
      <w:r w:rsidR="005E3F55">
        <w:t>n</w:t>
      </w:r>
      <w:r w:rsidR="00C26A9B">
        <w:t xml:space="preserve"> aspirations</w:t>
      </w:r>
      <w:r w:rsidR="005E3F55">
        <w:t xml:space="preserve"> confirmed the importance</w:t>
      </w:r>
      <w:r w:rsidR="002B341A">
        <w:t xml:space="preserve"> of </w:t>
      </w:r>
      <w:r w:rsidR="002477A0">
        <w:t xml:space="preserve">those that </w:t>
      </w:r>
      <w:r w:rsidR="00770B49">
        <w:t xml:space="preserve">might </w:t>
      </w:r>
      <w:r w:rsidR="002B341A">
        <w:t xml:space="preserve">be </w:t>
      </w:r>
      <w:r w:rsidR="002477A0">
        <w:t xml:space="preserve">expected </w:t>
      </w:r>
      <w:r w:rsidR="00090EBC">
        <w:t>in</w:t>
      </w:r>
      <w:r w:rsidR="002B341A">
        <w:t xml:space="preserve"> youth transitions research</w:t>
      </w:r>
      <w:r w:rsidR="00090EBC">
        <w:t xml:space="preserve">. </w:t>
      </w:r>
      <w:r>
        <w:t>These</w:t>
      </w:r>
      <w:r w:rsidR="00BB196A">
        <w:t xml:space="preserve"> factors </w:t>
      </w:r>
      <w:r w:rsidR="00272E72">
        <w:t>include</w:t>
      </w:r>
      <w:r w:rsidR="00090EBC">
        <w:t xml:space="preserve"> </w:t>
      </w:r>
      <w:r w:rsidR="00BB196A">
        <w:t>gender,</w:t>
      </w:r>
      <w:r w:rsidR="00770B49">
        <w:t xml:space="preserve"> </w:t>
      </w:r>
      <w:r w:rsidR="00FE02F3">
        <w:t>English</w:t>
      </w:r>
      <w:r w:rsidR="00DF6F4A">
        <w:t>-</w:t>
      </w:r>
      <w:r w:rsidR="00FE02F3">
        <w:t>speaking</w:t>
      </w:r>
      <w:r w:rsidR="00770B49">
        <w:t xml:space="preserve"> background, </w:t>
      </w:r>
      <w:r w:rsidR="002477A0">
        <w:t>socioeconomic status</w:t>
      </w:r>
      <w:r w:rsidR="00F64C09">
        <w:t>,</w:t>
      </w:r>
      <w:r w:rsidR="003F05E5">
        <w:t xml:space="preserve"> ac</w:t>
      </w:r>
      <w:r w:rsidR="003F05E5" w:rsidRPr="00F20220">
        <w:t xml:space="preserve">ademic </w:t>
      </w:r>
      <w:r w:rsidR="00F64C09" w:rsidRPr="00F20220">
        <w:t>achievement</w:t>
      </w:r>
      <w:r w:rsidR="004604D3" w:rsidRPr="00F20220">
        <w:t xml:space="preserve"> at age 1</w:t>
      </w:r>
      <w:r w:rsidR="00EB7C4C" w:rsidRPr="00F20220">
        <w:t>5</w:t>
      </w:r>
      <w:r w:rsidR="002477A0" w:rsidRPr="00F20220">
        <w:t xml:space="preserve"> </w:t>
      </w:r>
      <w:r w:rsidR="002477A0" w:rsidRPr="00F20220">
        <w:rPr>
          <w:rFonts w:eastAsia="Calibri"/>
        </w:rPr>
        <w:t>years,</w:t>
      </w:r>
      <w:r w:rsidR="002477A0" w:rsidRPr="00F20220">
        <w:t xml:space="preserve"> an</w:t>
      </w:r>
      <w:r w:rsidR="002477A0">
        <w:t>d</w:t>
      </w:r>
      <w:r>
        <w:t xml:space="preserve"> parental and peer</w:t>
      </w:r>
      <w:r w:rsidR="00EB7C4C">
        <w:t xml:space="preserve"> influence</w:t>
      </w:r>
      <w:r>
        <w:t>s</w:t>
      </w:r>
      <w:r w:rsidR="00EB7C4C">
        <w:t>.</w:t>
      </w:r>
      <w:r w:rsidR="00176008">
        <w:t xml:space="preserve"> In terms of importance, </w:t>
      </w:r>
      <w:r w:rsidR="002477A0">
        <w:t xml:space="preserve">the </w:t>
      </w:r>
      <w:r w:rsidR="00176008">
        <w:t>results show</w:t>
      </w:r>
      <w:r w:rsidR="00EB7C4C">
        <w:t xml:space="preserve"> that academic achievement at age 15 </w:t>
      </w:r>
      <w:r w:rsidR="002477A0">
        <w:rPr>
          <w:rFonts w:eastAsia="Calibri"/>
        </w:rPr>
        <w:t>years</w:t>
      </w:r>
      <w:r w:rsidR="002477A0">
        <w:t xml:space="preserve"> </w:t>
      </w:r>
      <w:r w:rsidR="00EB7C4C">
        <w:t>was t</w:t>
      </w:r>
      <w:r>
        <w:t>he most important predictor of Y</w:t>
      </w:r>
      <w:r w:rsidR="00EB7C4C">
        <w:t>ear 12 completion, followed by parental influence. For intentions to go to university immediately following school</w:t>
      </w:r>
      <w:r w:rsidR="00176008">
        <w:t>,</w:t>
      </w:r>
      <w:r w:rsidR="00EB7C4C">
        <w:t xml:space="preserve"> the most important inf</w:t>
      </w:r>
      <w:r>
        <w:t>luences were parents and peers</w:t>
      </w:r>
      <w:r w:rsidR="00EB7C4C">
        <w:t>.</w:t>
      </w:r>
      <w:r w:rsidR="00BA64A7">
        <w:t xml:space="preserve"> </w:t>
      </w:r>
      <w:r w:rsidR="00F64C09">
        <w:t>For</w:t>
      </w:r>
      <w:r w:rsidR="00BA64A7">
        <w:t xml:space="preserve"> expected occupational status</w:t>
      </w:r>
      <w:r w:rsidR="00176008">
        <w:t>,</w:t>
      </w:r>
      <w:r w:rsidR="00FB64A6">
        <w:t xml:space="preserve"> the most important factor</w:t>
      </w:r>
      <w:r w:rsidR="00BA64A7">
        <w:t xml:space="preserve"> </w:t>
      </w:r>
      <w:r w:rsidR="00FB64A6">
        <w:t>again was the influence of</w:t>
      </w:r>
      <w:r w:rsidR="00BA64A7">
        <w:t xml:space="preserve"> parents</w:t>
      </w:r>
      <w:r w:rsidR="00FB64A6">
        <w:t xml:space="preserve">, along with </w:t>
      </w:r>
      <w:r w:rsidR="00BA64A7">
        <w:t>academic achievement at age 15</w:t>
      </w:r>
      <w:r w:rsidR="002477A0">
        <w:t xml:space="preserve"> </w:t>
      </w:r>
      <w:r w:rsidR="002477A0">
        <w:rPr>
          <w:rFonts w:eastAsia="Calibri"/>
        </w:rPr>
        <w:t>years</w:t>
      </w:r>
      <w:r w:rsidR="00BA64A7">
        <w:t>.</w:t>
      </w:r>
    </w:p>
    <w:p w:rsidR="00662934" w:rsidRDefault="002A78C7" w:rsidP="00F13912">
      <w:pPr>
        <w:pStyle w:val="Text"/>
        <w:ind w:right="-143"/>
      </w:pPr>
      <w:r>
        <w:t>Th</w:t>
      </w:r>
      <w:r w:rsidR="00A13575">
        <w:t>is study also explored</w:t>
      </w:r>
      <w:r>
        <w:t xml:space="preserve"> the extent to which the initial</w:t>
      </w:r>
      <w:r w:rsidR="002477A0">
        <w:t xml:space="preserve"> occupational aspirations of 15-</w:t>
      </w:r>
      <w:r>
        <w:t>year-olds align</w:t>
      </w:r>
      <w:r w:rsidR="00A13575">
        <w:t>ed</w:t>
      </w:r>
      <w:r>
        <w:t xml:space="preserve"> with their actual occupational outcomes about a decade later.</w:t>
      </w:r>
      <w:r w:rsidR="00470892">
        <w:t xml:space="preserve"> </w:t>
      </w:r>
      <w:r w:rsidR="002477A0">
        <w:t xml:space="preserve">The results are not </w:t>
      </w:r>
      <w:r w:rsidR="00176008">
        <w:t>surprising</w:t>
      </w:r>
      <w:r w:rsidR="002477A0">
        <w:t>,</w:t>
      </w:r>
      <w:r w:rsidR="00176008">
        <w:t xml:space="preserve"> in that young people’s</w:t>
      </w:r>
      <w:r w:rsidR="00EB7C4C">
        <w:t xml:space="preserve"> aspirations are somewhat unrealistic</w:t>
      </w:r>
      <w:r w:rsidR="00176008">
        <w:t>,</w:t>
      </w:r>
      <w:r w:rsidR="00EB7C4C">
        <w:t xml:space="preserve"> with the </w:t>
      </w:r>
      <w:r w:rsidR="00BA64A7">
        <w:t xml:space="preserve">distribution of aspirations </w:t>
      </w:r>
      <w:r w:rsidR="00A13575">
        <w:t>being quite skewed towards high-</w:t>
      </w:r>
      <w:r w:rsidR="00BA64A7">
        <w:t xml:space="preserve">status jobs. </w:t>
      </w:r>
      <w:r w:rsidR="00B57531">
        <w:t xml:space="preserve">It </w:t>
      </w:r>
      <w:r w:rsidR="00BA64A7">
        <w:t>seems likely that the better performance of young women reflects the greater proportion going to university</w:t>
      </w:r>
      <w:r w:rsidR="00F64C09">
        <w:t xml:space="preserve"> compared </w:t>
      </w:r>
      <w:r w:rsidR="002477A0">
        <w:t>with</w:t>
      </w:r>
      <w:r w:rsidR="00F64C09">
        <w:t xml:space="preserve"> young men (</w:t>
      </w:r>
      <w:r w:rsidR="002477A0">
        <w:t>that is</w:t>
      </w:r>
      <w:r w:rsidR="00C5493D">
        <w:t xml:space="preserve">, </w:t>
      </w:r>
      <w:r w:rsidR="002477A0">
        <w:t xml:space="preserve">the </w:t>
      </w:r>
      <w:r w:rsidR="00F64C09">
        <w:t>occupational status of the trades is quite low</w:t>
      </w:r>
      <w:r w:rsidR="00742DC5">
        <w:t>,</w:t>
      </w:r>
      <w:r w:rsidR="00F64C09">
        <w:t xml:space="preserve"> while </w:t>
      </w:r>
      <w:r w:rsidR="002477A0">
        <w:t xml:space="preserve">the </w:t>
      </w:r>
      <w:r w:rsidR="00F64C09">
        <w:t>occupation</w:t>
      </w:r>
      <w:r w:rsidR="00076D51">
        <w:t>al</w:t>
      </w:r>
      <w:r w:rsidR="00F64C09">
        <w:t xml:space="preserve"> status of </w:t>
      </w:r>
      <w:r w:rsidR="002477A0">
        <w:t>jobs</w:t>
      </w:r>
      <w:r w:rsidR="00F64C09">
        <w:t xml:space="preserve"> requiring degrees is high)</w:t>
      </w:r>
      <w:r w:rsidR="00BA64A7">
        <w:t xml:space="preserve">. It should be noted here </w:t>
      </w:r>
      <w:r w:rsidR="00076D51">
        <w:t>that</w:t>
      </w:r>
      <w:r w:rsidR="003B4F40">
        <w:t>,</w:t>
      </w:r>
      <w:r w:rsidR="00076D51">
        <w:t xml:space="preserve"> </w:t>
      </w:r>
      <w:r w:rsidR="003B4F40">
        <w:t xml:space="preserve">despite the use of appropriate weights, </w:t>
      </w:r>
      <w:r w:rsidR="00BA64A7">
        <w:t xml:space="preserve">sample attrition may </w:t>
      </w:r>
      <w:r w:rsidR="003B4F40">
        <w:t xml:space="preserve">have </w:t>
      </w:r>
      <w:r w:rsidR="00BA64A7">
        <w:t>skew</w:t>
      </w:r>
      <w:r w:rsidR="003B4F40">
        <w:t>ed</w:t>
      </w:r>
      <w:r w:rsidR="00BA64A7">
        <w:t xml:space="preserve"> the results</w:t>
      </w:r>
      <w:r w:rsidR="003B4F40">
        <w:t xml:space="preserve"> toward the better jobs to some extent</w:t>
      </w:r>
      <w:r w:rsidR="00BA64A7">
        <w:t xml:space="preserve"> (</w:t>
      </w:r>
      <w:r w:rsidR="002477A0">
        <w:t>that is,</w:t>
      </w:r>
      <w:r w:rsidR="003B4F40">
        <w:t xml:space="preserve"> </w:t>
      </w:r>
      <w:r w:rsidR="00BA64A7">
        <w:t>the more successful young p</w:t>
      </w:r>
      <w:r w:rsidR="00F64C09">
        <w:t>e</w:t>
      </w:r>
      <w:r w:rsidR="00BA64A7">
        <w:t>ople are less likely to drop out from the survey). Fina</w:t>
      </w:r>
      <w:r w:rsidR="003B4F40">
        <w:t xml:space="preserve">lly, the analysis </w:t>
      </w:r>
      <w:r w:rsidR="002477A0">
        <w:t>determines</w:t>
      </w:r>
      <w:r w:rsidR="003B4F40">
        <w:t xml:space="preserve"> </w:t>
      </w:r>
      <w:r w:rsidR="00BA64A7">
        <w:t xml:space="preserve">only a loose relationship between </w:t>
      </w:r>
      <w:r w:rsidR="00742DC5">
        <w:t xml:space="preserve">the </w:t>
      </w:r>
      <w:r w:rsidR="003B4F40">
        <w:t xml:space="preserve">original </w:t>
      </w:r>
      <w:r w:rsidR="00BA64A7">
        <w:t xml:space="preserve">aspirations </w:t>
      </w:r>
      <w:r w:rsidR="003B4F40">
        <w:t xml:space="preserve">at age 15 </w:t>
      </w:r>
      <w:r w:rsidR="002477A0">
        <w:rPr>
          <w:rFonts w:eastAsia="Calibri"/>
        </w:rPr>
        <w:t>years</w:t>
      </w:r>
      <w:r w:rsidR="002477A0">
        <w:t xml:space="preserve"> </w:t>
      </w:r>
      <w:r w:rsidR="00BA64A7">
        <w:t xml:space="preserve">and </w:t>
      </w:r>
      <w:r w:rsidR="003B4F40">
        <w:t xml:space="preserve">the </w:t>
      </w:r>
      <w:r w:rsidR="00BA64A7">
        <w:t>actual job obtained</w:t>
      </w:r>
      <w:r w:rsidR="003B4F40">
        <w:t xml:space="preserve"> at age 25</w:t>
      </w:r>
      <w:r w:rsidR="002477A0">
        <w:t xml:space="preserve"> </w:t>
      </w:r>
      <w:r w:rsidR="002477A0">
        <w:rPr>
          <w:rFonts w:eastAsia="Calibri"/>
        </w:rPr>
        <w:t>years</w:t>
      </w:r>
      <w:r w:rsidR="001D4D4D">
        <w:t>.</w:t>
      </w:r>
    </w:p>
    <w:p w:rsidR="0051787A" w:rsidRDefault="00A13575" w:rsidP="006E04C5">
      <w:pPr>
        <w:pStyle w:val="Text"/>
      </w:pPr>
      <w:r>
        <w:t xml:space="preserve">A key insight from this study is just how critical parental influences are in driving </w:t>
      </w:r>
      <w:r w:rsidR="00D305FF">
        <w:t>young people’s educational and occupational aspirations.</w:t>
      </w:r>
      <w:r w:rsidR="00214A04">
        <w:t xml:space="preserve"> This finding</w:t>
      </w:r>
      <w:r>
        <w:t xml:space="preserve"> complements</w:t>
      </w:r>
      <w:r w:rsidR="003250D7">
        <w:t xml:space="preserve"> </w:t>
      </w:r>
      <w:r>
        <w:t>prior</w:t>
      </w:r>
      <w:r w:rsidR="0025515A">
        <w:t xml:space="preserve"> research which </w:t>
      </w:r>
      <w:r>
        <w:t xml:space="preserve">identified parents </w:t>
      </w:r>
      <w:r w:rsidR="00214A04">
        <w:t>as the primary infor</w:t>
      </w:r>
      <w:r w:rsidR="0025515A">
        <w:t>mation resource</w:t>
      </w:r>
      <w:r>
        <w:t xml:space="preserve"> for </w:t>
      </w:r>
      <w:r w:rsidR="00214A04">
        <w:t>discussing career and post-school transition options (Russel &amp; Wardman 1</w:t>
      </w:r>
      <w:r w:rsidR="0051787A">
        <w:t>998; Whiteley 2004).</w:t>
      </w:r>
    </w:p>
    <w:p w:rsidR="001D4D4D" w:rsidRDefault="00A13575" w:rsidP="006E04C5">
      <w:pPr>
        <w:pStyle w:val="Text"/>
        <w:rPr>
          <w:lang w:eastAsia="en-AU"/>
        </w:rPr>
      </w:pPr>
      <w:r>
        <w:t>From a</w:t>
      </w:r>
      <w:r w:rsidR="00B230E0">
        <w:t xml:space="preserve"> policy</w:t>
      </w:r>
      <w:r>
        <w:t xml:space="preserve"> perspective</w:t>
      </w:r>
      <w:r w:rsidR="00B230E0">
        <w:t xml:space="preserve">, </w:t>
      </w:r>
      <w:r w:rsidR="002477A0">
        <w:t xml:space="preserve">the </w:t>
      </w:r>
      <w:r>
        <w:t>results fro</w:t>
      </w:r>
      <w:r w:rsidR="00681B5A">
        <w:t>m this study reinforce the importance of</w:t>
      </w:r>
      <w:r w:rsidR="00D32791">
        <w:t xml:space="preserve"> parent-focused </w:t>
      </w:r>
      <w:r w:rsidR="0068497A">
        <w:t>interventions</w:t>
      </w:r>
      <w:r w:rsidR="00B230E0">
        <w:t>.</w:t>
      </w:r>
      <w:r w:rsidR="00B54EBB">
        <w:t xml:space="preserve"> </w:t>
      </w:r>
      <w:r w:rsidR="00B54EBB">
        <w:rPr>
          <w:lang w:eastAsia="en-AU"/>
        </w:rPr>
        <w:t xml:space="preserve">Expanding </w:t>
      </w:r>
      <w:r w:rsidR="00742DC5">
        <w:rPr>
          <w:lang w:eastAsia="en-AU"/>
        </w:rPr>
        <w:t>the provision</w:t>
      </w:r>
      <w:r w:rsidR="00DF6F4A">
        <w:rPr>
          <w:lang w:eastAsia="en-AU"/>
        </w:rPr>
        <w:t xml:space="preserve"> of</w:t>
      </w:r>
      <w:r w:rsidR="00742DC5">
        <w:rPr>
          <w:lang w:eastAsia="en-AU"/>
        </w:rPr>
        <w:t xml:space="preserve"> </w:t>
      </w:r>
      <w:r w:rsidR="00B54EBB">
        <w:rPr>
          <w:lang w:eastAsia="en-AU"/>
        </w:rPr>
        <w:t xml:space="preserve">programs that actively engage parents in the career decision-making process may be an effective means </w:t>
      </w:r>
      <w:r w:rsidR="00B54EBB">
        <w:t>for raising the educational and occupational aspirations of Australian youth</w:t>
      </w:r>
      <w:r w:rsidR="00B54EBB">
        <w:rPr>
          <w:lang w:eastAsia="en-AU"/>
        </w:rPr>
        <w:t>.</w:t>
      </w:r>
    </w:p>
    <w:p w:rsidR="001D4D4D" w:rsidRDefault="001D4D4D" w:rsidP="00662934">
      <w:pPr>
        <w:pStyle w:val="Text"/>
      </w:pPr>
    </w:p>
    <w:p w:rsidR="00A50895" w:rsidRDefault="00A50895" w:rsidP="00662934">
      <w:pPr>
        <w:pStyle w:val="Heading1"/>
      </w:pPr>
      <w:r>
        <w:br w:type="page"/>
      </w:r>
      <w:bookmarkStart w:id="94" w:name="_Toc456000800"/>
      <w:bookmarkStart w:id="95" w:name="_Toc457122465"/>
      <w:bookmarkStart w:id="96" w:name="_Toc188077643"/>
      <w:bookmarkStart w:id="97" w:name="_Toc380048255"/>
      <w:r>
        <w:lastRenderedPageBreak/>
        <w:t>References</w:t>
      </w:r>
      <w:bookmarkEnd w:id="94"/>
      <w:bookmarkEnd w:id="95"/>
      <w:bookmarkEnd w:id="96"/>
      <w:bookmarkEnd w:id="97"/>
    </w:p>
    <w:p w:rsidR="000961DF" w:rsidRPr="000961DF" w:rsidRDefault="00BA62B6" w:rsidP="00B50650">
      <w:pPr>
        <w:pStyle w:val="References"/>
      </w:pPr>
      <w:bookmarkStart w:id="98" w:name="_Toc188077644"/>
      <w:bookmarkStart w:id="99" w:name="OLE_LINK1"/>
      <w:bookmarkStart w:id="100" w:name="OLE_LINK2"/>
      <w:r w:rsidRPr="00BA62B6">
        <w:t xml:space="preserve">Ainley, J, Buckley, S, Beavis, A, Rothman, S &amp; Tovey, A 2011, </w:t>
      </w:r>
      <w:r w:rsidR="002477A0">
        <w:rPr>
          <w:i/>
        </w:rPr>
        <w:t>Analysis of Year 12 or c</w:t>
      </w:r>
      <w:r w:rsidRPr="000961DF">
        <w:rPr>
          <w:i/>
        </w:rPr>
        <w:t>ertificate II attainm</w:t>
      </w:r>
      <w:r w:rsidR="002477A0">
        <w:rPr>
          <w:i/>
        </w:rPr>
        <w:t>ent of Indigenous young people — stage 1,</w:t>
      </w:r>
      <w:r w:rsidRPr="000961DF">
        <w:rPr>
          <w:i/>
        </w:rPr>
        <w:t xml:space="preserve"> </w:t>
      </w:r>
      <w:r w:rsidRPr="002477A0">
        <w:t>a report prepared for the Council of Australian Governments Reform Council</w:t>
      </w:r>
      <w:r>
        <w:t>,</w:t>
      </w:r>
      <w:r w:rsidRPr="00BA62B6">
        <w:t xml:space="preserve"> </w:t>
      </w:r>
      <w:r w:rsidR="00425FF0" w:rsidRPr="00425FF0">
        <w:t>viewed</w:t>
      </w:r>
      <w:r w:rsidR="002477A0" w:rsidRPr="00425FF0">
        <w:t xml:space="preserve"> </w:t>
      </w:r>
      <w:r w:rsidR="00425FF0">
        <w:t xml:space="preserve">15 October 2013, </w:t>
      </w:r>
      <w:r w:rsidR="000961DF">
        <w:t>&lt;</w:t>
      </w:r>
      <w:hyperlink r:id="rId30" w:history="1">
        <w:r w:rsidR="000961DF" w:rsidRPr="000961DF">
          <w:t>http://www.coagreformcouncil.gov.au/sites/default/files/files/excellence/good-practice/NIRA_09-10_good_practice.pdf</w:t>
        </w:r>
      </w:hyperlink>
      <w:r w:rsidR="000961DF">
        <w:t>&gt;.</w:t>
      </w:r>
    </w:p>
    <w:p w:rsidR="00B50650" w:rsidRDefault="00B50650" w:rsidP="00B50650">
      <w:pPr>
        <w:pStyle w:val="References"/>
      </w:pPr>
      <w:r w:rsidRPr="00A70554">
        <w:t>Beal, SJ &amp; Crockett, LJ 2010, ‘</w:t>
      </w:r>
      <w:hyperlink r:id="rId31" w:history="1">
        <w:r w:rsidRPr="00A70554">
          <w:t>Adolescents’ occupational and educational</w:t>
        </w:r>
        <w:r w:rsidR="002477A0">
          <w:t xml:space="preserve"> aspirations and expectations: l</w:t>
        </w:r>
        <w:r w:rsidRPr="00A70554">
          <w:t>inks to high school activities and adult educational attainment</w:t>
        </w:r>
      </w:hyperlink>
      <w:r w:rsidRPr="00A70554">
        <w:t xml:space="preserve">’, </w:t>
      </w:r>
      <w:r w:rsidRPr="00A70554">
        <w:rPr>
          <w:i/>
        </w:rPr>
        <w:t>Developmental Psychology</w:t>
      </w:r>
      <w:r w:rsidR="002477A0">
        <w:t>, vol.46</w:t>
      </w:r>
      <w:r w:rsidR="00F13912">
        <w:t>,</w:t>
      </w:r>
      <w:r w:rsidR="002477A0">
        <w:t xml:space="preserve"> no.1, pp.258—</w:t>
      </w:r>
      <w:r w:rsidRPr="00A70554">
        <w:t>65.</w:t>
      </w:r>
    </w:p>
    <w:p w:rsidR="00D824C3" w:rsidRPr="00D824C3" w:rsidRDefault="00D824C3" w:rsidP="00D824C3">
      <w:pPr>
        <w:pStyle w:val="References"/>
        <w:rPr>
          <w:b/>
        </w:rPr>
      </w:pPr>
      <w:r w:rsidRPr="00D824C3">
        <w:t xml:space="preserve">Bedson, L &amp; Perkins, D 2006, </w:t>
      </w:r>
      <w:r w:rsidRPr="00D824C3">
        <w:rPr>
          <w:i/>
        </w:rPr>
        <w:t>A positive influence: equipping parents to support young</w:t>
      </w:r>
      <w:r w:rsidR="00531890">
        <w:rPr>
          <w:i/>
        </w:rPr>
        <w:t xml:space="preserve"> people’s career transitions — e</w:t>
      </w:r>
      <w:r w:rsidRPr="00D824C3">
        <w:rPr>
          <w:i/>
        </w:rPr>
        <w:t>valuation of the PACTS program</w:t>
      </w:r>
      <w:r w:rsidRPr="00D824C3">
        <w:t>, Brotherhood of St Laurence, Victoria, viewed 27</w:t>
      </w:r>
      <w:r w:rsidR="00F13912">
        <w:t> </w:t>
      </w:r>
      <w:r w:rsidRPr="00D824C3">
        <w:t>November 2013, &lt;</w:t>
      </w:r>
      <w:r w:rsidR="00742DC5">
        <w:t>http://</w:t>
      </w:r>
      <w:r w:rsidRPr="00D824C3">
        <w:t>www.bsl.org.au/pdfs/positive_influence_PACTS_report.pdf</w:t>
      </w:r>
      <w:r w:rsidRPr="00D824C3">
        <w:rPr>
          <w:rFonts w:ascii="Arial" w:hAnsi="Arial" w:cs="Arial"/>
        </w:rPr>
        <w:t>‎</w:t>
      </w:r>
      <w:r w:rsidRPr="00D824C3">
        <w:t>&gt;.</w:t>
      </w:r>
    </w:p>
    <w:p w:rsidR="00B50650" w:rsidRPr="00A70554" w:rsidRDefault="00B50650" w:rsidP="00B50650">
      <w:pPr>
        <w:pStyle w:val="References"/>
      </w:pPr>
      <w:r w:rsidRPr="00A70554">
        <w:t xml:space="preserve">Benner, AD &amp; Mistry, RS 2007, ‘Congruence of mother and teacher educational expectations and low-income youth’s academic competence’, </w:t>
      </w:r>
      <w:r w:rsidRPr="00A70554">
        <w:rPr>
          <w:i/>
        </w:rPr>
        <w:t>Journal of Educational Psychology</w:t>
      </w:r>
      <w:r w:rsidR="00531890">
        <w:t>, vol.99, no.1, pp.140—</w:t>
      </w:r>
      <w:r w:rsidRPr="00A70554">
        <w:t>53.</w:t>
      </w:r>
    </w:p>
    <w:p w:rsidR="00B50650" w:rsidRPr="00A70554" w:rsidRDefault="00B50650" w:rsidP="00B50650">
      <w:pPr>
        <w:pStyle w:val="References"/>
      </w:pPr>
      <w:r w:rsidRPr="00A70554">
        <w:t xml:space="preserve">Biggs, D, De Ville, B &amp; Suen, E 1991, ‘A method of choosing multiway partitions for classification and decision trees’, </w:t>
      </w:r>
      <w:r w:rsidRPr="00A70554">
        <w:rPr>
          <w:i/>
          <w:iCs/>
        </w:rPr>
        <w:t>Journal of Applied Statistics</w:t>
      </w:r>
      <w:r w:rsidRPr="00A70554">
        <w:t>, vol.18, pp.49—62.</w:t>
      </w:r>
    </w:p>
    <w:p w:rsidR="00B50650" w:rsidRPr="00A70554" w:rsidRDefault="00B50650" w:rsidP="00B50650">
      <w:pPr>
        <w:pStyle w:val="References"/>
      </w:pPr>
      <w:r w:rsidRPr="00A70554">
        <w:t>Buchmann, C &amp; Dalton, B 2002, ‘Interpersonal influences and educationa</w:t>
      </w:r>
      <w:r w:rsidR="00531890">
        <w:t>l aspirations in 12 countries: t</w:t>
      </w:r>
      <w:r w:rsidRPr="00A70554">
        <w:t xml:space="preserve">he importance of institutional context’, </w:t>
      </w:r>
      <w:r w:rsidRPr="00A70554">
        <w:rPr>
          <w:i/>
        </w:rPr>
        <w:t>Sociology of Education</w:t>
      </w:r>
      <w:r w:rsidR="00531890">
        <w:t>, vol.75, pp.</w:t>
      </w:r>
      <w:r w:rsidRPr="00A70554">
        <w:t>99</w:t>
      </w:r>
      <w:r w:rsidR="00531890">
        <w:t>—</w:t>
      </w:r>
      <w:r w:rsidRPr="00A70554">
        <w:t>122.</w:t>
      </w:r>
    </w:p>
    <w:p w:rsidR="00B50650" w:rsidRPr="00A70554" w:rsidRDefault="00B50650" w:rsidP="00B50650">
      <w:pPr>
        <w:pStyle w:val="References"/>
      </w:pPr>
      <w:r w:rsidRPr="00A70554">
        <w:t xml:space="preserve">Gemici, S, Bednarz, A &amp; Lim, P 2011, </w:t>
      </w:r>
      <w:r w:rsidRPr="00A70554">
        <w:rPr>
          <w:i/>
        </w:rPr>
        <w:t>Getting tough on missing data: a boot camp for social science researchers</w:t>
      </w:r>
      <w:r w:rsidRPr="00A70554">
        <w:t xml:space="preserve">, NCVER, Adelaide, </w:t>
      </w:r>
      <w:r w:rsidR="00244C10" w:rsidRPr="00425FF0">
        <w:t xml:space="preserve">viewed </w:t>
      </w:r>
      <w:r w:rsidR="00425FF0">
        <w:t xml:space="preserve">15 October, 2013, </w:t>
      </w:r>
      <w:r w:rsidRPr="00A70554">
        <w:t xml:space="preserve"> </w:t>
      </w:r>
      <w:r w:rsidR="00244C10">
        <w:t>&lt;</w:t>
      </w:r>
      <w:hyperlink r:id="rId32" w:history="1">
        <w:r w:rsidRPr="00A70554">
          <w:t>http://www.ncver.edu.au/publications/2421.html</w:t>
        </w:r>
      </w:hyperlink>
      <w:r w:rsidR="00244C10">
        <w:t>&gt;.</w:t>
      </w:r>
    </w:p>
    <w:p w:rsidR="00B50650" w:rsidRPr="00A70554" w:rsidRDefault="00B50650" w:rsidP="00B50650">
      <w:pPr>
        <w:pStyle w:val="References"/>
      </w:pPr>
      <w:r w:rsidRPr="00A70554">
        <w:t>Homel, J, Mavisa</w:t>
      </w:r>
      <w:r w:rsidR="00531890">
        <w:t>kalyan, A, Nguyen, HT &amp; Ryan, C</w:t>
      </w:r>
      <w:r w:rsidRPr="00A70554">
        <w:t xml:space="preserve"> 2012, </w:t>
      </w:r>
      <w:r w:rsidRPr="00A70554">
        <w:rPr>
          <w:i/>
        </w:rPr>
        <w:t>School completion: what we learn from different measures of family background</w:t>
      </w:r>
      <w:r w:rsidRPr="00A70554">
        <w:t xml:space="preserve">, </w:t>
      </w:r>
      <w:r w:rsidR="00531890">
        <w:t>NCVER,</w:t>
      </w:r>
      <w:r w:rsidR="00531890" w:rsidRPr="00531890">
        <w:t xml:space="preserve"> </w:t>
      </w:r>
      <w:r w:rsidR="00531890">
        <w:t>Adelaide.</w:t>
      </w:r>
    </w:p>
    <w:p w:rsidR="00B50650" w:rsidRPr="00A70554" w:rsidRDefault="00B50650" w:rsidP="005E3EAC">
      <w:pPr>
        <w:pStyle w:val="References"/>
      </w:pPr>
      <w:r w:rsidRPr="00A70554">
        <w:t>Ho</w:t>
      </w:r>
      <w:bookmarkStart w:id="101" w:name="OLE_LINK23"/>
      <w:bookmarkStart w:id="102" w:name="OLE_LINK24"/>
      <w:r w:rsidR="005E3EAC">
        <w:t>mel, J &amp; Ryan, C</w:t>
      </w:r>
      <w:r w:rsidR="00531890">
        <w:t xml:space="preserve"> 2014,</w:t>
      </w:r>
      <w:r w:rsidR="005E3EAC">
        <w:t xml:space="preserve"> </w:t>
      </w:r>
      <w:r w:rsidR="005E3EAC" w:rsidRPr="005E3EAC">
        <w:rPr>
          <w:i/>
        </w:rPr>
        <w:t>Educational outcomes: the impact of aspirations and the role of student background characteristics</w:t>
      </w:r>
      <w:bookmarkEnd w:id="101"/>
      <w:bookmarkEnd w:id="102"/>
      <w:r w:rsidRPr="00A70554">
        <w:t>, Social Policy Evaluation Analysis Research Centre, Australian National University</w:t>
      </w:r>
      <w:r w:rsidR="00531890">
        <w:t>, Canberra</w:t>
      </w:r>
      <w:r w:rsidR="005E3EAC">
        <w:t>.</w:t>
      </w:r>
    </w:p>
    <w:p w:rsidR="00B50650" w:rsidRPr="00A70554" w:rsidRDefault="00B50650" w:rsidP="00B50650">
      <w:pPr>
        <w:pStyle w:val="References"/>
      </w:pPr>
      <w:r w:rsidRPr="00A70554">
        <w:t>IPUMS-International Australia 2013, ‘ANU4 status scale’, viewed 22 February 2013, &lt;</w:t>
      </w:r>
      <w:bookmarkStart w:id="103" w:name="OLE_LINK3"/>
      <w:bookmarkStart w:id="104" w:name="OLE_LINK4"/>
      <w:r w:rsidRPr="00A70554">
        <w:t>http://ipumsi.anu.edu.au/SiteTools/Status_Scales/scale4.php</w:t>
      </w:r>
      <w:bookmarkEnd w:id="103"/>
      <w:bookmarkEnd w:id="104"/>
      <w:r w:rsidRPr="00A70554">
        <w:t>&gt;.</w:t>
      </w:r>
    </w:p>
    <w:p w:rsidR="00B50650" w:rsidRPr="00A70554" w:rsidRDefault="00B50650" w:rsidP="00B50650">
      <w:pPr>
        <w:pStyle w:val="References"/>
      </w:pPr>
      <w:r w:rsidRPr="00A70554">
        <w:t xml:space="preserve">Jones, FL &amp; McMillan, J 2001, ‘Scoring occupational categories for social research: a review of current practice, with Australian </w:t>
      </w:r>
      <w:r w:rsidR="00DF6F4A">
        <w:t>e</w:t>
      </w:r>
      <w:r w:rsidRPr="00A70554">
        <w:t xml:space="preserve">xamples’, </w:t>
      </w:r>
      <w:r w:rsidRPr="00A70554">
        <w:rPr>
          <w:i/>
        </w:rPr>
        <w:t>Work, Employment &amp; Society</w:t>
      </w:r>
      <w:r w:rsidRPr="00A70554">
        <w:t xml:space="preserve">, </w:t>
      </w:r>
      <w:r w:rsidR="00531890">
        <w:t>vol.</w:t>
      </w:r>
      <w:r w:rsidRPr="00A70554">
        <w:t xml:space="preserve">15, </w:t>
      </w:r>
      <w:r w:rsidR="00531890">
        <w:t>no.</w:t>
      </w:r>
      <w:r w:rsidRPr="00A70554">
        <w:t>3, p</w:t>
      </w:r>
      <w:r w:rsidR="00531890">
        <w:t>p.</w:t>
      </w:r>
      <w:r w:rsidRPr="00A70554">
        <w:t>539</w:t>
      </w:r>
      <w:r w:rsidR="00531890">
        <w:t>—</w:t>
      </w:r>
      <w:r w:rsidRPr="00A70554">
        <w:t>63.</w:t>
      </w:r>
    </w:p>
    <w:p w:rsidR="00B50650" w:rsidRPr="00A70554" w:rsidRDefault="00B50650" w:rsidP="00B50650">
      <w:pPr>
        <w:pStyle w:val="References"/>
      </w:pPr>
      <w:r w:rsidRPr="00A70554">
        <w:t xml:space="preserve">Khoo, ST &amp; Ainley, J 2005, </w:t>
      </w:r>
      <w:r w:rsidRPr="00A70554">
        <w:rPr>
          <w:i/>
        </w:rPr>
        <w:t>Attitudes, intentions and participation</w:t>
      </w:r>
      <w:r w:rsidRPr="00A70554">
        <w:t>, Australian C</w:t>
      </w:r>
      <w:r w:rsidR="00531890">
        <w:t xml:space="preserve">ouncil for Educational Research, </w:t>
      </w:r>
      <w:r w:rsidR="00531890" w:rsidRPr="00425FF0">
        <w:t xml:space="preserve">viewed </w:t>
      </w:r>
      <w:r w:rsidR="00425FF0">
        <w:t>15</w:t>
      </w:r>
      <w:r w:rsidR="00425FF0">
        <w:rPr>
          <w:vertAlign w:val="superscript"/>
        </w:rPr>
        <w:t xml:space="preserve"> </w:t>
      </w:r>
      <w:r w:rsidR="00425FF0">
        <w:t xml:space="preserve">October 2013, </w:t>
      </w:r>
      <w:r w:rsidR="00244C10">
        <w:t>&lt;</w:t>
      </w:r>
      <w:r w:rsidRPr="00A70554">
        <w:t>http://www.ncver.edu.au/publications/1847.html</w:t>
      </w:r>
      <w:r w:rsidR="00244C10">
        <w:t>&gt;.</w:t>
      </w:r>
    </w:p>
    <w:p w:rsidR="00B50650" w:rsidRPr="00A70554" w:rsidRDefault="00B50650" w:rsidP="00B50650">
      <w:pPr>
        <w:pStyle w:val="References"/>
      </w:pPr>
      <w:r w:rsidRPr="00A70554">
        <w:t xml:space="preserve">Kirk, CM, Lewis-Moss, RK, Nilsen, C &amp; Colvin, DQ 2011, ‘The role of parent expectations on adolescent educational aspirations’, </w:t>
      </w:r>
      <w:r w:rsidRPr="00A70554">
        <w:rPr>
          <w:i/>
        </w:rPr>
        <w:t>Educational Studies</w:t>
      </w:r>
      <w:r w:rsidRPr="00A70554">
        <w:t xml:space="preserve">, </w:t>
      </w:r>
      <w:r w:rsidR="00531890">
        <w:t>vol.</w:t>
      </w:r>
      <w:r w:rsidRPr="00A70554">
        <w:t xml:space="preserve">37, </w:t>
      </w:r>
      <w:r w:rsidR="00531890">
        <w:t>no.</w:t>
      </w:r>
      <w:r w:rsidRPr="00A70554">
        <w:t>1, p</w:t>
      </w:r>
      <w:r w:rsidR="00531890">
        <w:t>p.</w:t>
      </w:r>
      <w:r w:rsidRPr="00A70554">
        <w:t>89</w:t>
      </w:r>
      <w:r w:rsidR="00531890">
        <w:t>—</w:t>
      </w:r>
      <w:r w:rsidRPr="00A70554">
        <w:t>99.</w:t>
      </w:r>
    </w:p>
    <w:p w:rsidR="00B50650" w:rsidRPr="00A70554" w:rsidRDefault="00B50650" w:rsidP="00B50650">
      <w:pPr>
        <w:pStyle w:val="References"/>
      </w:pPr>
      <w:r w:rsidRPr="00A70554">
        <w:t xml:space="preserve">Lee, JS 2010, </w:t>
      </w:r>
      <w:r w:rsidRPr="00A70554">
        <w:rPr>
          <w:i/>
        </w:rPr>
        <w:t>Returns from education: an occupational status approach</w:t>
      </w:r>
      <w:r w:rsidRPr="00A70554">
        <w:t>, NCVER</w:t>
      </w:r>
      <w:r w:rsidR="00531890">
        <w:t>,</w:t>
      </w:r>
      <w:r w:rsidR="00531890" w:rsidRPr="00531890">
        <w:t xml:space="preserve"> </w:t>
      </w:r>
      <w:r w:rsidR="00531890" w:rsidRPr="00A70554">
        <w:t>Adelaide</w:t>
      </w:r>
      <w:r w:rsidRPr="00A70554">
        <w:t>.</w:t>
      </w:r>
    </w:p>
    <w:p w:rsidR="00B50650" w:rsidRPr="00A70554" w:rsidRDefault="00B50650" w:rsidP="00B50650">
      <w:pPr>
        <w:pStyle w:val="References"/>
      </w:pPr>
      <w:r w:rsidRPr="00A70554">
        <w:t xml:space="preserve">Lee, I &amp; Rojewski, J 2009, ‘Development of occupational aspiration prestige: a piecewise latent growth model of selected influences’, </w:t>
      </w:r>
      <w:r w:rsidRPr="00A70554">
        <w:rPr>
          <w:i/>
        </w:rPr>
        <w:t>Journal of Vocational Behavior</w:t>
      </w:r>
      <w:r w:rsidR="00DB21A5">
        <w:t xml:space="preserve">, </w:t>
      </w:r>
      <w:r w:rsidR="00531890">
        <w:t>vol.</w:t>
      </w:r>
      <w:r w:rsidR="00DB21A5">
        <w:t xml:space="preserve">75, </w:t>
      </w:r>
      <w:r w:rsidR="00531890">
        <w:t>no.</w:t>
      </w:r>
      <w:r w:rsidR="00DB21A5">
        <w:t>1, p</w:t>
      </w:r>
      <w:r w:rsidR="00531890">
        <w:t>p.</w:t>
      </w:r>
      <w:r w:rsidR="00DB21A5">
        <w:t>82</w:t>
      </w:r>
      <w:r w:rsidR="00531890">
        <w:t>—</w:t>
      </w:r>
      <w:r w:rsidR="00DB21A5">
        <w:t>90.</w:t>
      </w:r>
    </w:p>
    <w:p w:rsidR="008625CD" w:rsidRPr="008625CD" w:rsidRDefault="008625CD" w:rsidP="008625CD">
      <w:pPr>
        <w:pStyle w:val="References"/>
      </w:pPr>
      <w:r w:rsidRPr="008625CD">
        <w:t xml:space="preserve">Lumsden, M &amp; Stanwick, J 2012, </w:t>
      </w:r>
      <w:r w:rsidRPr="008625CD">
        <w:rPr>
          <w:i/>
        </w:rPr>
        <w:t xml:space="preserve">Who takes a gap year and why? </w:t>
      </w:r>
      <w:r w:rsidRPr="00742DC5">
        <w:t>LSAY briefing paper 28</w:t>
      </w:r>
      <w:r w:rsidRPr="008625CD">
        <w:t xml:space="preserve">, </w:t>
      </w:r>
      <w:r w:rsidRPr="008625CD">
        <w:rPr>
          <w:bCs/>
        </w:rPr>
        <w:t>NCVER, Adelaide</w:t>
      </w:r>
      <w:r w:rsidRPr="008625CD">
        <w:t>.</w:t>
      </w:r>
    </w:p>
    <w:p w:rsidR="00B50650" w:rsidRPr="00A70554" w:rsidRDefault="00B50650" w:rsidP="00B50650">
      <w:pPr>
        <w:pStyle w:val="References"/>
      </w:pPr>
      <w:r w:rsidRPr="00A70554">
        <w:t xml:space="preserve">Magidson, J 1993, ‘The CHAID approach to segmentation modeling: Chi-squared automatic interaction detection’, in </w:t>
      </w:r>
      <w:r w:rsidRPr="00A70554">
        <w:rPr>
          <w:i/>
          <w:iCs/>
        </w:rPr>
        <w:t>Handbook of marketing research</w:t>
      </w:r>
      <w:r w:rsidRPr="00A70554">
        <w:t>, ed. R Bagozzi, Blackwell, London, pp.118—59.</w:t>
      </w:r>
    </w:p>
    <w:p w:rsidR="00DF6F4A" w:rsidRPr="00A70554" w:rsidRDefault="00DF6F4A" w:rsidP="00DF6F4A">
      <w:pPr>
        <w:pStyle w:val="References"/>
      </w:pPr>
      <w:r w:rsidRPr="00A70554">
        <w:t xml:space="preserve">McMillan, J 2010, </w:t>
      </w:r>
      <w:r>
        <w:t>‘</w:t>
      </w:r>
      <w:r w:rsidRPr="00244C10">
        <w:t>Occupation-based conceptualisations of socioeconomic status</w:t>
      </w:r>
      <w:r>
        <w:t>’</w:t>
      </w:r>
      <w:r w:rsidRPr="00A70554">
        <w:t>, PowerPoint presentation, Socioeconomic Status and Higher Education Students Symposium, Monday 12 April</w:t>
      </w:r>
      <w:r>
        <w:t xml:space="preserve"> 2010</w:t>
      </w:r>
      <w:r w:rsidRPr="00A70554">
        <w:t>, UTS, Sydney, viewed 4 March 2013, &lt;http://www.equity101.info/content/Occupation-based-conceptualisations-socioeconomic-status&gt;.</w:t>
      </w:r>
    </w:p>
    <w:p w:rsidR="00B50650" w:rsidRPr="00A70554" w:rsidRDefault="00B50650" w:rsidP="00B50650">
      <w:pPr>
        <w:pStyle w:val="References"/>
      </w:pPr>
      <w:r w:rsidRPr="00A70554">
        <w:t xml:space="preserve">McMillan, J, Jones, L &amp; Beavis, A 2009, ‘A new scale for measuring socioeconomic status in educational research: development and validation of the Australian Socioeconomic Index 2006 (AUSEI06)’, paper presented at the </w:t>
      </w:r>
      <w:r w:rsidRPr="00A70554">
        <w:rPr>
          <w:i/>
        </w:rPr>
        <w:t>2009 AARE International Education Research Conference</w:t>
      </w:r>
      <w:r w:rsidRPr="00A70554">
        <w:t>, Canberra.</w:t>
      </w:r>
    </w:p>
    <w:p w:rsidR="00B50650" w:rsidRPr="00A70554" w:rsidRDefault="00B50650" w:rsidP="00B50650">
      <w:pPr>
        <w:pStyle w:val="References"/>
      </w:pPr>
      <w:r w:rsidRPr="00A70554">
        <w:t xml:space="preserve">Mello, ZR 2008, ‘Gender </w:t>
      </w:r>
      <w:r w:rsidR="00244C10" w:rsidRPr="00A70554">
        <w:t>variation in developmental trajectories of educational and occupational expectations and attainment from adolescence to adulthood’</w:t>
      </w:r>
      <w:r w:rsidRPr="00A70554">
        <w:t xml:space="preserve">, </w:t>
      </w:r>
      <w:r w:rsidRPr="00A70554">
        <w:rPr>
          <w:i/>
        </w:rPr>
        <w:t>Developmental Psychology</w:t>
      </w:r>
      <w:r w:rsidRPr="00A70554">
        <w:t xml:space="preserve">, </w:t>
      </w:r>
      <w:r w:rsidR="00531890">
        <w:t>vol.</w:t>
      </w:r>
      <w:r w:rsidRPr="00A70554">
        <w:t xml:space="preserve">44, </w:t>
      </w:r>
      <w:r w:rsidR="00531890">
        <w:t>no.</w:t>
      </w:r>
      <w:r w:rsidRPr="00A70554">
        <w:t>4, p</w:t>
      </w:r>
      <w:r w:rsidR="00531890">
        <w:t>p.</w:t>
      </w:r>
      <w:r w:rsidR="00244C10">
        <w:t>1069—</w:t>
      </w:r>
      <w:r w:rsidRPr="00A70554">
        <w:t>80.</w:t>
      </w:r>
    </w:p>
    <w:p w:rsidR="00B50650" w:rsidRDefault="00244C10" w:rsidP="00B50650">
      <w:pPr>
        <w:pStyle w:val="References"/>
      </w:pPr>
      <w:r>
        <w:t>——</w:t>
      </w:r>
      <w:r w:rsidR="00B50650" w:rsidRPr="00A70554">
        <w:t xml:space="preserve">2009, ‘Racial/ethnic group and socioeconomic status variation in educational and occupational expectations from adolescence to adulthood’, </w:t>
      </w:r>
      <w:r w:rsidR="00B50650" w:rsidRPr="00A70554">
        <w:rPr>
          <w:i/>
        </w:rPr>
        <w:t>Journal of Applied Developmental Psychology</w:t>
      </w:r>
      <w:r w:rsidR="00B50650" w:rsidRPr="00A70554">
        <w:t xml:space="preserve">, </w:t>
      </w:r>
      <w:r w:rsidR="00531890">
        <w:t>vol.</w:t>
      </w:r>
      <w:r w:rsidR="00B50650" w:rsidRPr="00A70554">
        <w:t>30, p</w:t>
      </w:r>
      <w:r w:rsidR="00531890">
        <w:t>p.</w:t>
      </w:r>
      <w:r>
        <w:t>494—</w:t>
      </w:r>
      <w:r w:rsidR="00B50650" w:rsidRPr="00A70554">
        <w:t>504.</w:t>
      </w:r>
    </w:p>
    <w:p w:rsidR="00D824C3" w:rsidRPr="00D824C3" w:rsidRDefault="00D824C3" w:rsidP="00D824C3">
      <w:pPr>
        <w:pStyle w:val="References"/>
      </w:pPr>
      <w:r w:rsidRPr="00D824C3">
        <w:t xml:space="preserve">National Employment Services Association (NESA) 2013, </w:t>
      </w:r>
      <w:r w:rsidR="00244C10">
        <w:t>‘</w:t>
      </w:r>
      <w:r w:rsidRPr="00D824C3">
        <w:t xml:space="preserve">$6.1 million to kick-start careers, </w:t>
      </w:r>
      <w:r w:rsidR="00244C10" w:rsidRPr="00D824C3">
        <w:t>media release</w:t>
      </w:r>
      <w:r w:rsidR="00244C10">
        <w:t>’</w:t>
      </w:r>
      <w:r w:rsidRPr="00D824C3">
        <w:t>, viewed 28 November 2013, &lt;https://www.nesa.com.au/media/52007/130523_garrett_mr_$6.1%</w:t>
      </w:r>
      <w:r w:rsidR="00F13912">
        <w:t xml:space="preserve"> </w:t>
      </w:r>
      <w:r w:rsidRPr="00D824C3">
        <w:t>20million%20to%20kick-start%20careers.pdf&gt;.</w:t>
      </w:r>
    </w:p>
    <w:p w:rsidR="00DA1954" w:rsidRPr="00A70554" w:rsidRDefault="00DA1954" w:rsidP="00B50650">
      <w:pPr>
        <w:pStyle w:val="References"/>
      </w:pPr>
      <w:r w:rsidRPr="004B1E37">
        <w:lastRenderedPageBreak/>
        <w:t>Ngu</w:t>
      </w:r>
      <w:r w:rsidR="00D60EFF">
        <w:t>yen, N &amp; Blomberg, D 2014</w:t>
      </w:r>
      <w:r w:rsidRPr="004B1E37">
        <w:t xml:space="preserve">, </w:t>
      </w:r>
      <w:r w:rsidR="004B1E37" w:rsidRPr="004B1E37">
        <w:rPr>
          <w:i/>
        </w:rPr>
        <w:t>The role of aspirations in the education and occupation choices of young people</w:t>
      </w:r>
      <w:r w:rsidR="004B1E37" w:rsidRPr="004B1E37">
        <w:t>,</w:t>
      </w:r>
      <w:r w:rsidR="00244C10">
        <w:t xml:space="preserve"> </w:t>
      </w:r>
      <w:r w:rsidR="004B1E37" w:rsidRPr="004B1E37">
        <w:t>NCVER</w:t>
      </w:r>
      <w:r w:rsidR="00244C10">
        <w:t>,</w:t>
      </w:r>
      <w:r w:rsidR="00244C10" w:rsidRPr="00244C10">
        <w:t xml:space="preserve"> </w:t>
      </w:r>
      <w:r w:rsidR="00244C10" w:rsidRPr="004B1E37">
        <w:t>Adelaide</w:t>
      </w:r>
      <w:r w:rsidR="004B1E37" w:rsidRPr="004B1E37">
        <w:t>.</w:t>
      </w:r>
    </w:p>
    <w:p w:rsidR="00B50650" w:rsidRPr="00A70554" w:rsidRDefault="00B50650" w:rsidP="00B50650">
      <w:pPr>
        <w:pStyle w:val="References"/>
      </w:pPr>
      <w:r w:rsidRPr="00A70554">
        <w:t>OECD</w:t>
      </w:r>
      <w:r w:rsidR="00244C10">
        <w:t xml:space="preserve"> (Organisation for Economic Co-operation and Development)</w:t>
      </w:r>
      <w:r w:rsidRPr="00A70554">
        <w:t xml:space="preserve"> 2010, </w:t>
      </w:r>
      <w:r w:rsidRPr="00A70554">
        <w:rPr>
          <w:i/>
          <w:iCs/>
        </w:rPr>
        <w:t>PISA 2009 results:</w:t>
      </w:r>
      <w:r w:rsidR="00244C10">
        <w:rPr>
          <w:i/>
          <w:iCs/>
        </w:rPr>
        <w:t xml:space="preserve"> what students know and can do —</w:t>
      </w:r>
      <w:r w:rsidRPr="00A70554">
        <w:rPr>
          <w:i/>
          <w:iCs/>
        </w:rPr>
        <w:t xml:space="preserve"> student performance in reading, mathematics and science (volume I)</w:t>
      </w:r>
      <w:r w:rsidRPr="00A70554">
        <w:rPr>
          <w:iCs/>
        </w:rPr>
        <w:t xml:space="preserve">, </w:t>
      </w:r>
      <w:r w:rsidR="00244C10" w:rsidRPr="00425FF0">
        <w:rPr>
          <w:iCs/>
        </w:rPr>
        <w:t xml:space="preserve">viewed </w:t>
      </w:r>
      <w:r w:rsidR="00425FF0">
        <w:rPr>
          <w:iCs/>
        </w:rPr>
        <w:t>15</w:t>
      </w:r>
      <w:r w:rsidR="00DF6F4A">
        <w:rPr>
          <w:iCs/>
        </w:rPr>
        <w:t> </w:t>
      </w:r>
      <w:r w:rsidR="00425FF0">
        <w:rPr>
          <w:iCs/>
        </w:rPr>
        <w:t xml:space="preserve">October 2013, </w:t>
      </w:r>
      <w:r w:rsidR="00244C10">
        <w:rPr>
          <w:iCs/>
        </w:rPr>
        <w:t>&lt;</w:t>
      </w:r>
      <w:r w:rsidRPr="00A70554">
        <w:rPr>
          <w:iCs/>
        </w:rPr>
        <w:t>http://dx.doi.org/10.1787/9789264091450-en</w:t>
      </w:r>
      <w:r w:rsidR="00244C10">
        <w:rPr>
          <w:iCs/>
        </w:rPr>
        <w:t>&gt;.</w:t>
      </w:r>
    </w:p>
    <w:p w:rsidR="00B50650" w:rsidRPr="00A70554" w:rsidRDefault="00742DC5" w:rsidP="00B50650">
      <w:pPr>
        <w:pStyle w:val="References"/>
      </w:pPr>
      <w:r>
        <w:t>——</w:t>
      </w:r>
      <w:r w:rsidR="00B50650" w:rsidRPr="00A70554">
        <w:t xml:space="preserve">2012, </w:t>
      </w:r>
      <w:r w:rsidR="00B50650" w:rsidRPr="00A70554">
        <w:rPr>
          <w:i/>
        </w:rPr>
        <w:t>PISA 2009 technical report</w:t>
      </w:r>
      <w:r w:rsidR="00B50650" w:rsidRPr="00A70554">
        <w:t xml:space="preserve">, PISA, OECD Publishing, </w:t>
      </w:r>
      <w:r w:rsidR="00244C10" w:rsidRPr="00425FF0">
        <w:rPr>
          <w:iCs/>
        </w:rPr>
        <w:t xml:space="preserve">viewed </w:t>
      </w:r>
      <w:r w:rsidR="00425FF0">
        <w:rPr>
          <w:iCs/>
        </w:rPr>
        <w:t xml:space="preserve">15 October 2013, </w:t>
      </w:r>
      <w:r w:rsidR="00244C10">
        <w:rPr>
          <w:iCs/>
        </w:rPr>
        <w:t>&lt;</w:t>
      </w:r>
      <w:r w:rsidR="00B50650" w:rsidRPr="00A70554">
        <w:t>http://dx.doi.org/10.1787/9789264167872-en</w:t>
      </w:r>
      <w:r w:rsidR="00244C10">
        <w:t>&gt;.</w:t>
      </w:r>
    </w:p>
    <w:p w:rsidR="00B50650" w:rsidRDefault="00B50650" w:rsidP="00B50650">
      <w:pPr>
        <w:pStyle w:val="References"/>
      </w:pPr>
      <w:r w:rsidRPr="00A70554">
        <w:t xml:space="preserve">Ou, S &amp; Reynolds, AJ 2008, ‘Predictors of educational attainment in the Chicago longitudinal study’, </w:t>
      </w:r>
      <w:r w:rsidRPr="00A70554">
        <w:rPr>
          <w:i/>
        </w:rPr>
        <w:t>School Psychology Quarterly</w:t>
      </w:r>
      <w:r w:rsidRPr="00A70554">
        <w:t xml:space="preserve">, </w:t>
      </w:r>
      <w:r w:rsidR="00531890">
        <w:t>vol.</w:t>
      </w:r>
      <w:r w:rsidRPr="00A70554">
        <w:t xml:space="preserve">23, </w:t>
      </w:r>
      <w:r w:rsidR="00531890">
        <w:t>no.</w:t>
      </w:r>
      <w:r w:rsidRPr="00A70554">
        <w:t>2, p</w:t>
      </w:r>
      <w:r w:rsidR="00531890">
        <w:t>p.</w:t>
      </w:r>
      <w:r w:rsidR="00244C10">
        <w:t>199—</w:t>
      </w:r>
      <w:r w:rsidRPr="00A70554">
        <w:t>229.</w:t>
      </w:r>
    </w:p>
    <w:p w:rsidR="00B50650" w:rsidRPr="00A70554" w:rsidRDefault="00B50650" w:rsidP="00B50650">
      <w:pPr>
        <w:pStyle w:val="References"/>
      </w:pPr>
      <w:r w:rsidRPr="00A70554">
        <w:t>Reynolds, J &amp; Pemberton, J 2001, ‘Rising college expectations amo</w:t>
      </w:r>
      <w:r w:rsidR="00244C10">
        <w:t>ng youth in the United States: a</w:t>
      </w:r>
      <w:r w:rsidRPr="00A70554">
        <w:t xml:space="preserve"> comparison of the 1979 and 1997 NLSY’, </w:t>
      </w:r>
      <w:r w:rsidRPr="00A70554">
        <w:rPr>
          <w:i/>
        </w:rPr>
        <w:t>Journal of Human Resources</w:t>
      </w:r>
      <w:r w:rsidRPr="00A70554">
        <w:t xml:space="preserve">, </w:t>
      </w:r>
      <w:r w:rsidR="00531890">
        <w:t>vol.</w:t>
      </w:r>
      <w:r w:rsidRPr="00A70554">
        <w:t xml:space="preserve">36, </w:t>
      </w:r>
      <w:r w:rsidR="00531890">
        <w:t>no.</w:t>
      </w:r>
      <w:r w:rsidRPr="00A70554">
        <w:t>4, p</w:t>
      </w:r>
      <w:r w:rsidR="00531890">
        <w:t>p.</w:t>
      </w:r>
      <w:r w:rsidRPr="00A70554">
        <w:t>703</w:t>
      </w:r>
      <w:r w:rsidR="00531890">
        <w:t>—</w:t>
      </w:r>
      <w:r w:rsidRPr="00A70554">
        <w:t>26.</w:t>
      </w:r>
    </w:p>
    <w:p w:rsidR="00B50650" w:rsidRDefault="00B50650" w:rsidP="00B50650">
      <w:pPr>
        <w:pStyle w:val="References"/>
      </w:pPr>
      <w:r w:rsidRPr="00A70554">
        <w:t xml:space="preserve">Rubin, DB 1987, </w:t>
      </w:r>
      <w:r w:rsidRPr="00A70554">
        <w:rPr>
          <w:i/>
        </w:rPr>
        <w:t>Multiple imputation for nonresponse in surveys</w:t>
      </w:r>
      <w:r w:rsidRPr="00A70554">
        <w:t>,</w:t>
      </w:r>
      <w:r w:rsidR="00244C10">
        <w:t xml:space="preserve"> </w:t>
      </w:r>
      <w:r w:rsidRPr="00A70554">
        <w:t>Wiley &amp; Sons</w:t>
      </w:r>
      <w:r w:rsidR="00244C10">
        <w:t>,</w:t>
      </w:r>
      <w:r w:rsidR="00244C10" w:rsidRPr="00244C10">
        <w:t xml:space="preserve"> </w:t>
      </w:r>
      <w:r w:rsidR="00244C10" w:rsidRPr="00A70554">
        <w:t>New York</w:t>
      </w:r>
      <w:r w:rsidRPr="00A70554">
        <w:t>.</w:t>
      </w:r>
    </w:p>
    <w:p w:rsidR="00093F8F" w:rsidRPr="00093F8F" w:rsidRDefault="00093F8F" w:rsidP="00093F8F">
      <w:pPr>
        <w:pStyle w:val="References"/>
      </w:pPr>
      <w:r w:rsidRPr="00093F8F">
        <w:t xml:space="preserve">Russell, M &amp; Wardman, M 1998, </w:t>
      </w:r>
      <w:r w:rsidRPr="00093F8F">
        <w:rPr>
          <w:i/>
        </w:rPr>
        <w:t>The value of information types and sources for Year 11 decision making</w:t>
      </w:r>
      <w:r w:rsidRPr="00093F8F">
        <w:t>, Department for Education and Employment, Sudbury, Suffolk.</w:t>
      </w:r>
    </w:p>
    <w:p w:rsidR="00B50650" w:rsidRPr="00A70554" w:rsidRDefault="00B50650" w:rsidP="00B50650">
      <w:pPr>
        <w:pStyle w:val="References"/>
      </w:pPr>
      <w:r w:rsidRPr="00A70554">
        <w:t xml:space="preserve">Sikora, J &amp; Saha, LJ 2011, </w:t>
      </w:r>
      <w:r w:rsidRPr="00A70554">
        <w:rPr>
          <w:i/>
        </w:rPr>
        <w:t>Lost talent? The occupational ambitions and attainments of young Australians</w:t>
      </w:r>
      <w:r w:rsidRPr="00A70554">
        <w:t>, NCVER, Adelaide, viewed 27 March 2013, &lt;http://www.ncver.edu.au/publications/2313.html&gt;.</w:t>
      </w:r>
    </w:p>
    <w:p w:rsidR="000772F7" w:rsidRDefault="00B50650" w:rsidP="005851B2">
      <w:pPr>
        <w:pStyle w:val="References"/>
      </w:pPr>
      <w:r w:rsidRPr="00A70554">
        <w:t xml:space="preserve">White, P 2007, </w:t>
      </w:r>
      <w:r w:rsidRPr="00A70554">
        <w:rPr>
          <w:i/>
        </w:rPr>
        <w:t>Education</w:t>
      </w:r>
      <w:r w:rsidRPr="00A70554">
        <w:t xml:space="preserve"> </w:t>
      </w:r>
      <w:r w:rsidRPr="00A70554">
        <w:rPr>
          <w:i/>
        </w:rPr>
        <w:t>and career choice: a new model of decision making</w:t>
      </w:r>
      <w:r w:rsidRPr="00A70554">
        <w:t>, Palgrave, New York.</w:t>
      </w:r>
      <w:bookmarkEnd w:id="98"/>
      <w:bookmarkEnd w:id="99"/>
      <w:bookmarkEnd w:id="100"/>
    </w:p>
    <w:p w:rsidR="00093F8F" w:rsidRDefault="00093F8F" w:rsidP="00093F8F">
      <w:pPr>
        <w:pStyle w:val="References"/>
      </w:pPr>
      <w:r w:rsidRPr="00093F8F">
        <w:t>Whitel</w:t>
      </w:r>
      <w:r w:rsidR="002477A0">
        <w:t>e</w:t>
      </w:r>
      <w:r w:rsidRPr="00093F8F">
        <w:t xml:space="preserve">y, S 2001, ‘Youth at risk: why don’t they just enrol in a tertiary course or get a job?’, </w:t>
      </w:r>
      <w:r w:rsidRPr="00093F8F">
        <w:rPr>
          <w:i/>
        </w:rPr>
        <w:t>Youth Studies Australia</w:t>
      </w:r>
      <w:r w:rsidRPr="00093F8F">
        <w:t xml:space="preserve">, </w:t>
      </w:r>
      <w:r w:rsidR="00531890">
        <w:t>vol.</w:t>
      </w:r>
      <w:r w:rsidRPr="00093F8F">
        <w:t xml:space="preserve">20, </w:t>
      </w:r>
      <w:r w:rsidR="00531890">
        <w:t>no.</w:t>
      </w:r>
      <w:r w:rsidRPr="00093F8F">
        <w:t>2, p</w:t>
      </w:r>
      <w:r w:rsidR="00531890">
        <w:t>p.</w:t>
      </w:r>
      <w:r w:rsidRPr="00093F8F">
        <w:t>23</w:t>
      </w:r>
      <w:r w:rsidR="00531890">
        <w:t>—</w:t>
      </w:r>
      <w:r w:rsidRPr="00093F8F">
        <w:t>8.</w:t>
      </w:r>
    </w:p>
    <w:p w:rsidR="00D824C3" w:rsidRDefault="00D824C3" w:rsidP="00D824C3">
      <w:pPr>
        <w:pStyle w:val="References"/>
      </w:pPr>
      <w:r>
        <w:t xml:space="preserve">Youth Connect 2013, </w:t>
      </w:r>
      <w:r w:rsidRPr="00294F3F">
        <w:rPr>
          <w:i/>
        </w:rPr>
        <w:t>Parents as Career Transition Support (PACTS) Program</w:t>
      </w:r>
      <w:r>
        <w:t>, viewed 27 November 2013, &lt;</w:t>
      </w:r>
      <w:r w:rsidRPr="00CF52D5">
        <w:t>http://www.youthconnect.com.au/career-transition-programs/pacts/</w:t>
      </w:r>
      <w:r>
        <w:t>&gt;.</w:t>
      </w:r>
    </w:p>
    <w:p w:rsidR="00D824C3" w:rsidRPr="00093F8F" w:rsidRDefault="00D824C3" w:rsidP="00093F8F">
      <w:pPr>
        <w:pStyle w:val="References"/>
      </w:pPr>
    </w:p>
    <w:p w:rsidR="00093F8F" w:rsidRPr="000D24DE" w:rsidRDefault="00093F8F" w:rsidP="005851B2">
      <w:pPr>
        <w:pStyle w:val="References"/>
      </w:pPr>
    </w:p>
    <w:sectPr w:rsidR="00093F8F" w:rsidRPr="000D24DE" w:rsidSect="00373771">
      <w:footerReference w:type="even" r:id="rId33"/>
      <w:footerReference w:type="default" r:id="rId34"/>
      <w:pgSz w:w="11907" w:h="16840" w:code="9"/>
      <w:pgMar w:top="1134"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D3" w:rsidRDefault="004604D3">
      <w:r>
        <w:separator/>
      </w:r>
    </w:p>
  </w:endnote>
  <w:endnote w:type="continuationSeparator" w:id="0">
    <w:p w:rsidR="004604D3" w:rsidRDefault="0046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8C0A74" w:rsidRDefault="00170BFE" w:rsidP="00FF5931">
    <w:pPr>
      <w:pStyle w:val="Footer"/>
      <w:tabs>
        <w:tab w:val="clear" w:pos="8505"/>
        <w:tab w:val="right" w:pos="8789"/>
      </w:tabs>
      <w:rPr>
        <w:b/>
      </w:rPr>
    </w:pPr>
    <w:r>
      <w:rPr>
        <w:b/>
        <w:noProof/>
        <w:color w:val="FFFFFF" w:themeColor="background1"/>
        <w:lang w:eastAsia="en-AU"/>
      </w:rPr>
      <w:pict>
        <v:rect id="_x0000_s2051" style="position:absolute;margin-left:-85.05pt;margin-top:-2.45pt;width:99pt;height:18.75pt;z-index:-251655168" fillcolor="black [3213]" stroked="f" strokecolor="#bfbfbf [2412]"/>
      </w:pict>
    </w:r>
    <w:r w:rsidR="004604D3" w:rsidRPr="008C0A74">
      <w:rPr>
        <w:b/>
        <w:color w:val="FFFFFF" w:themeColor="background1"/>
      </w:rPr>
      <w:fldChar w:fldCharType="begin"/>
    </w:r>
    <w:r w:rsidR="004604D3" w:rsidRPr="008C0A74">
      <w:rPr>
        <w:b/>
        <w:color w:val="FFFFFF" w:themeColor="background1"/>
      </w:rPr>
      <w:instrText xml:space="preserve"> PAGE </w:instrText>
    </w:r>
    <w:r w:rsidR="004604D3" w:rsidRPr="008C0A74">
      <w:rPr>
        <w:b/>
        <w:color w:val="FFFFFF" w:themeColor="background1"/>
      </w:rPr>
      <w:fldChar w:fldCharType="separate"/>
    </w:r>
    <w:r>
      <w:rPr>
        <w:b/>
        <w:noProof/>
        <w:color w:val="FFFFFF" w:themeColor="background1"/>
      </w:rPr>
      <w:t>14</w:t>
    </w:r>
    <w:r w:rsidR="004604D3" w:rsidRPr="008C0A74">
      <w:rPr>
        <w:b/>
        <w:color w:val="FFFFFF" w:themeColor="background1"/>
      </w:rPr>
      <w:fldChar w:fldCharType="end"/>
    </w:r>
    <w:r w:rsidR="004604D3" w:rsidRPr="008C0A74">
      <w:rPr>
        <w:b/>
        <w:color w:val="FFFFFF" w:themeColor="background1"/>
      </w:rPr>
      <w:tab/>
    </w:r>
    <w:r w:rsidR="004604D3">
      <w:rPr>
        <w:b/>
      </w:rPr>
      <w:t>The factors affecting the educational and occupational aspirations of young Australians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9775C7" w:rsidRDefault="004604D3"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8C0A74" w:rsidRDefault="00170BFE" w:rsidP="00FF5931">
    <w:pPr>
      <w:pStyle w:val="Footer"/>
      <w:tabs>
        <w:tab w:val="clear" w:pos="8505"/>
        <w:tab w:val="right" w:pos="8789"/>
      </w:tabs>
      <w:rPr>
        <w:b/>
      </w:rPr>
    </w:pPr>
    <w:r>
      <w:rPr>
        <w:b/>
        <w:noProof/>
        <w:color w:val="FFFFFF" w:themeColor="background1"/>
        <w:lang w:eastAsia="en-AU"/>
      </w:rPr>
      <w:pict>
        <v:rect id="_x0000_s2058" style="position:absolute;margin-left:-85.05pt;margin-top:-2.45pt;width:99pt;height:18.75pt;z-index:-251640832" fillcolor="black [3213]" stroked="f" strokecolor="#bfbfbf [2412]"/>
      </w:pict>
    </w:r>
    <w:r w:rsidR="004604D3" w:rsidRPr="008C0A74">
      <w:rPr>
        <w:b/>
        <w:color w:val="FFFFFF" w:themeColor="background1"/>
      </w:rPr>
      <w:fldChar w:fldCharType="begin"/>
    </w:r>
    <w:r w:rsidR="004604D3" w:rsidRPr="008C0A74">
      <w:rPr>
        <w:b/>
        <w:color w:val="FFFFFF" w:themeColor="background1"/>
      </w:rPr>
      <w:instrText xml:space="preserve"> PAGE </w:instrText>
    </w:r>
    <w:r w:rsidR="004604D3" w:rsidRPr="008C0A74">
      <w:rPr>
        <w:b/>
        <w:color w:val="FFFFFF" w:themeColor="background1"/>
      </w:rPr>
      <w:fldChar w:fldCharType="separate"/>
    </w:r>
    <w:r>
      <w:rPr>
        <w:b/>
        <w:noProof/>
        <w:color w:val="FFFFFF" w:themeColor="background1"/>
      </w:rPr>
      <w:t>32</w:t>
    </w:r>
    <w:r w:rsidR="004604D3" w:rsidRPr="008C0A74">
      <w:rPr>
        <w:b/>
        <w:color w:val="FFFFFF" w:themeColor="background1"/>
      </w:rPr>
      <w:fldChar w:fldCharType="end"/>
    </w:r>
    <w:r w:rsidR="004604D3" w:rsidRPr="008C0A74">
      <w:rPr>
        <w:b/>
        <w:color w:val="FFFFFF" w:themeColor="background1"/>
      </w:rPr>
      <w:tab/>
    </w:r>
    <w:r w:rsidR="004604D3">
      <w:rPr>
        <w:b/>
      </w:rPr>
      <w:t>The factors affecting the educational and occupational aspirations of young Australians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9775C7" w:rsidRDefault="00170BFE" w:rsidP="008C0A74">
    <w:pPr>
      <w:pStyle w:val="Footer"/>
      <w:tabs>
        <w:tab w:val="clear" w:pos="8505"/>
        <w:tab w:val="right" w:pos="8789"/>
      </w:tabs>
      <w:rPr>
        <w:color w:val="FFFFFF" w:themeColor="background1"/>
      </w:rPr>
    </w:pPr>
    <w:r>
      <w:rPr>
        <w:b/>
        <w:noProof/>
        <w:lang w:eastAsia="en-AU"/>
      </w:rPr>
      <w:pict>
        <v:rect id="_x0000_s2059" style="position:absolute;margin-left:425.6pt;margin-top:-2.45pt;width:99pt;height:18.75pt;z-index:-251638784" fillcolor="black [3213]" stroked="f" strokecolor="#bfbfbf [2412]"/>
      </w:pict>
    </w:r>
    <w:r w:rsidR="004604D3" w:rsidRPr="009775C7">
      <w:rPr>
        <w:b/>
      </w:rPr>
      <w:t>NCVER</w:t>
    </w:r>
    <w:r w:rsidR="004604D3" w:rsidRPr="009775C7">
      <w:tab/>
    </w:r>
    <w:r w:rsidR="004604D3" w:rsidRPr="009775C7">
      <w:rPr>
        <w:rStyle w:val="PageNumber"/>
        <w:rFonts w:cs="Tahoma"/>
        <w:b/>
        <w:color w:val="FFFFFF" w:themeColor="background1"/>
        <w:sz w:val="17"/>
      </w:rPr>
      <w:fldChar w:fldCharType="begin"/>
    </w:r>
    <w:r w:rsidR="004604D3" w:rsidRPr="009775C7">
      <w:rPr>
        <w:rStyle w:val="PageNumber"/>
        <w:rFonts w:cs="Tahoma"/>
        <w:b/>
        <w:color w:val="FFFFFF" w:themeColor="background1"/>
        <w:sz w:val="17"/>
      </w:rPr>
      <w:instrText xml:space="preserve"> PAGE </w:instrText>
    </w:r>
    <w:r w:rsidR="004604D3" w:rsidRPr="009775C7">
      <w:rPr>
        <w:rStyle w:val="PageNumber"/>
        <w:rFonts w:cs="Tahoma"/>
        <w:b/>
        <w:color w:val="FFFFFF" w:themeColor="background1"/>
        <w:sz w:val="17"/>
      </w:rPr>
      <w:fldChar w:fldCharType="separate"/>
    </w:r>
    <w:r>
      <w:rPr>
        <w:rStyle w:val="PageNumber"/>
        <w:rFonts w:cs="Tahoma"/>
        <w:b/>
        <w:noProof/>
        <w:color w:val="FFFFFF" w:themeColor="background1"/>
        <w:sz w:val="17"/>
      </w:rPr>
      <w:t>31</w:t>
    </w:r>
    <w:r w:rsidR="004604D3" w:rsidRPr="009775C7">
      <w:rPr>
        <w:rStyle w:val="PageNumber"/>
        <w:rFonts w:cs="Tahoma"/>
        <w:b/>
        <w:color w:val="FFFFFF" w:themeColor="background1"/>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9775C7" w:rsidRDefault="00170BFE" w:rsidP="008C0A74">
    <w:pPr>
      <w:pStyle w:val="Footer"/>
      <w:tabs>
        <w:tab w:val="clear" w:pos="8505"/>
        <w:tab w:val="right" w:pos="8789"/>
      </w:tabs>
      <w:rPr>
        <w:color w:val="FFFFFF" w:themeColor="background1"/>
      </w:rPr>
    </w:pPr>
    <w:r>
      <w:rPr>
        <w:b/>
        <w:noProof/>
        <w:lang w:eastAsia="en-AU"/>
      </w:rPr>
      <w:pict>
        <v:rect id="_x0000_s2052" style="position:absolute;margin-left:425.6pt;margin-top:-2.45pt;width:99pt;height:18.75pt;z-index:-251653120" fillcolor="black [3213]" stroked="f" strokecolor="#bfbfbf [2412]"/>
      </w:pict>
    </w:r>
    <w:r w:rsidR="004604D3" w:rsidRPr="009775C7">
      <w:rPr>
        <w:b/>
      </w:rPr>
      <w:t>NCVER</w:t>
    </w:r>
    <w:r w:rsidR="004604D3" w:rsidRPr="009775C7">
      <w:tab/>
    </w:r>
    <w:r w:rsidR="004604D3" w:rsidRPr="009775C7">
      <w:rPr>
        <w:rStyle w:val="PageNumber"/>
        <w:rFonts w:cs="Tahoma"/>
        <w:b/>
        <w:color w:val="FFFFFF" w:themeColor="background1"/>
        <w:sz w:val="17"/>
      </w:rPr>
      <w:fldChar w:fldCharType="begin"/>
    </w:r>
    <w:r w:rsidR="004604D3" w:rsidRPr="009775C7">
      <w:rPr>
        <w:rStyle w:val="PageNumber"/>
        <w:rFonts w:cs="Tahoma"/>
        <w:b/>
        <w:color w:val="FFFFFF" w:themeColor="background1"/>
        <w:sz w:val="17"/>
      </w:rPr>
      <w:instrText xml:space="preserve"> PAGE </w:instrText>
    </w:r>
    <w:r w:rsidR="004604D3" w:rsidRPr="009775C7">
      <w:rPr>
        <w:rStyle w:val="PageNumber"/>
        <w:rFonts w:cs="Tahoma"/>
        <w:b/>
        <w:color w:val="FFFFFF" w:themeColor="background1"/>
        <w:sz w:val="17"/>
      </w:rPr>
      <w:fldChar w:fldCharType="separate"/>
    </w:r>
    <w:r>
      <w:rPr>
        <w:rStyle w:val="PageNumber"/>
        <w:rFonts w:cs="Tahoma"/>
        <w:b/>
        <w:noProof/>
        <w:color w:val="FFFFFF" w:themeColor="background1"/>
        <w:sz w:val="17"/>
      </w:rPr>
      <w:t>15</w:t>
    </w:r>
    <w:r w:rsidR="004604D3" w:rsidRPr="009775C7">
      <w:rPr>
        <w:rStyle w:val="PageNumber"/>
        <w:rFonts w:cs="Tahoma"/>
        <w:b/>
        <w:color w:val="FFFFFF" w:themeColor="background1"/>
        <w:sz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8C0A74" w:rsidRDefault="004604D3" w:rsidP="00FF5931">
    <w:pPr>
      <w:pStyle w:val="Footer"/>
      <w:tabs>
        <w:tab w:val="clear" w:pos="8505"/>
        <w:tab w:val="right" w:pos="8789"/>
      </w:tabs>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8C0A74" w:rsidRDefault="00170BFE" w:rsidP="00FF5931">
    <w:pPr>
      <w:pStyle w:val="Footer"/>
      <w:tabs>
        <w:tab w:val="clear" w:pos="8505"/>
        <w:tab w:val="right" w:pos="8789"/>
      </w:tabs>
      <w:rPr>
        <w:b/>
      </w:rPr>
    </w:pPr>
    <w:r>
      <w:rPr>
        <w:b/>
        <w:noProof/>
        <w:color w:val="FFFFFF" w:themeColor="background1"/>
        <w:lang w:eastAsia="en-AU"/>
      </w:rPr>
      <w:pict>
        <v:rect id="_x0000_s2054" style="position:absolute;margin-left:-85.05pt;margin-top:-2.45pt;width:99pt;height:18.75pt;z-index:-251649024" fillcolor="black [3213]" stroked="f" strokecolor="#bfbfbf [2412]"/>
      </w:pict>
    </w:r>
    <w:r w:rsidR="004604D3" w:rsidRPr="008C0A74">
      <w:rPr>
        <w:b/>
        <w:color w:val="FFFFFF" w:themeColor="background1"/>
      </w:rPr>
      <w:fldChar w:fldCharType="begin"/>
    </w:r>
    <w:r w:rsidR="004604D3" w:rsidRPr="008C0A74">
      <w:rPr>
        <w:b/>
        <w:color w:val="FFFFFF" w:themeColor="background1"/>
      </w:rPr>
      <w:instrText xml:space="preserve"> PAGE </w:instrText>
    </w:r>
    <w:r w:rsidR="004604D3" w:rsidRPr="008C0A74">
      <w:rPr>
        <w:b/>
        <w:color w:val="FFFFFF" w:themeColor="background1"/>
      </w:rPr>
      <w:fldChar w:fldCharType="separate"/>
    </w:r>
    <w:r>
      <w:rPr>
        <w:b/>
        <w:noProof/>
        <w:color w:val="FFFFFF" w:themeColor="background1"/>
      </w:rPr>
      <w:t>18</w:t>
    </w:r>
    <w:r w:rsidR="004604D3" w:rsidRPr="008C0A74">
      <w:rPr>
        <w:b/>
        <w:color w:val="FFFFFF" w:themeColor="background1"/>
      </w:rPr>
      <w:fldChar w:fldCharType="end"/>
    </w:r>
    <w:r w:rsidR="004604D3" w:rsidRPr="008C0A74">
      <w:rPr>
        <w:b/>
        <w:color w:val="FFFFFF" w:themeColor="background1"/>
      </w:rPr>
      <w:tab/>
    </w:r>
    <w:r w:rsidR="004604D3">
      <w:rPr>
        <w:b/>
      </w:rPr>
      <w:t>The factors affecting the educational and occupational aspirations of young Australians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9775C7" w:rsidRDefault="00170BFE" w:rsidP="008C0A74">
    <w:pPr>
      <w:pStyle w:val="Footer"/>
      <w:tabs>
        <w:tab w:val="clear" w:pos="8505"/>
        <w:tab w:val="right" w:pos="8789"/>
      </w:tabs>
      <w:rPr>
        <w:color w:val="FFFFFF" w:themeColor="background1"/>
      </w:rPr>
    </w:pPr>
    <w:r>
      <w:rPr>
        <w:b/>
        <w:noProof/>
        <w:lang w:eastAsia="en-AU"/>
      </w:rPr>
      <w:pict>
        <v:rect id="_x0000_s2061" style="position:absolute;margin-left:425.6pt;margin-top:-2.45pt;width:99pt;height:18.75pt;z-index:-251634688" fillcolor="black [3213]" stroked="f" strokecolor="#bfbfbf [2412]"/>
      </w:pict>
    </w:r>
    <w:r w:rsidR="004604D3" w:rsidRPr="009775C7">
      <w:rPr>
        <w:b/>
      </w:rPr>
      <w:t>NCVER</w:t>
    </w:r>
    <w:r w:rsidR="004604D3" w:rsidRPr="009775C7">
      <w:tab/>
    </w:r>
    <w:r w:rsidR="004604D3" w:rsidRPr="009775C7">
      <w:rPr>
        <w:rStyle w:val="PageNumber"/>
        <w:rFonts w:cs="Tahoma"/>
        <w:b/>
        <w:color w:val="FFFFFF" w:themeColor="background1"/>
        <w:sz w:val="17"/>
      </w:rPr>
      <w:fldChar w:fldCharType="begin"/>
    </w:r>
    <w:r w:rsidR="004604D3" w:rsidRPr="009775C7">
      <w:rPr>
        <w:rStyle w:val="PageNumber"/>
        <w:rFonts w:cs="Tahoma"/>
        <w:b/>
        <w:color w:val="FFFFFF" w:themeColor="background1"/>
        <w:sz w:val="17"/>
      </w:rPr>
      <w:instrText xml:space="preserve"> PAGE </w:instrText>
    </w:r>
    <w:r w:rsidR="004604D3" w:rsidRPr="009775C7">
      <w:rPr>
        <w:rStyle w:val="PageNumber"/>
        <w:rFonts w:cs="Tahoma"/>
        <w:b/>
        <w:color w:val="FFFFFF" w:themeColor="background1"/>
        <w:sz w:val="17"/>
      </w:rPr>
      <w:fldChar w:fldCharType="separate"/>
    </w:r>
    <w:r>
      <w:rPr>
        <w:rStyle w:val="PageNumber"/>
        <w:rFonts w:cs="Tahoma"/>
        <w:b/>
        <w:noProof/>
        <w:color w:val="FFFFFF" w:themeColor="background1"/>
        <w:sz w:val="17"/>
      </w:rPr>
      <w:t>17</w:t>
    </w:r>
    <w:r w:rsidR="004604D3" w:rsidRPr="009775C7">
      <w:rPr>
        <w:rStyle w:val="PageNumber"/>
        <w:rFonts w:cs="Tahoma"/>
        <w:b/>
        <w:color w:val="FFFFFF" w:themeColor="background1"/>
        <w:sz w:val="17"/>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9775C7" w:rsidRDefault="004604D3"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8C0A74" w:rsidRDefault="00170BFE" w:rsidP="00FF5931">
    <w:pPr>
      <w:pStyle w:val="Footer"/>
      <w:tabs>
        <w:tab w:val="clear" w:pos="8505"/>
        <w:tab w:val="right" w:pos="8789"/>
      </w:tabs>
      <w:rPr>
        <w:b/>
      </w:rPr>
    </w:pPr>
    <w:r>
      <w:rPr>
        <w:b/>
        <w:noProof/>
        <w:color w:val="FFFFFF" w:themeColor="background1"/>
        <w:lang w:eastAsia="en-AU"/>
      </w:rPr>
      <w:pict>
        <v:rect id="_x0000_s2062" style="position:absolute;margin-left:-85.05pt;margin-top:-2.45pt;width:99pt;height:18.75pt;z-index:-251632640" fillcolor="black [3213]" stroked="f" strokecolor="#bfbfbf [2412]"/>
      </w:pict>
    </w:r>
    <w:r w:rsidR="004604D3" w:rsidRPr="008C0A74">
      <w:rPr>
        <w:b/>
        <w:color w:val="FFFFFF" w:themeColor="background1"/>
      </w:rPr>
      <w:fldChar w:fldCharType="begin"/>
    </w:r>
    <w:r w:rsidR="004604D3" w:rsidRPr="008C0A74">
      <w:rPr>
        <w:b/>
        <w:color w:val="FFFFFF" w:themeColor="background1"/>
      </w:rPr>
      <w:instrText xml:space="preserve"> PAGE </w:instrText>
    </w:r>
    <w:r w:rsidR="004604D3" w:rsidRPr="008C0A74">
      <w:rPr>
        <w:b/>
        <w:color w:val="FFFFFF" w:themeColor="background1"/>
      </w:rPr>
      <w:fldChar w:fldCharType="separate"/>
    </w:r>
    <w:r>
      <w:rPr>
        <w:b/>
        <w:noProof/>
        <w:color w:val="FFFFFF" w:themeColor="background1"/>
      </w:rPr>
      <w:t>20</w:t>
    </w:r>
    <w:r w:rsidR="004604D3" w:rsidRPr="008C0A74">
      <w:rPr>
        <w:b/>
        <w:color w:val="FFFFFF" w:themeColor="background1"/>
      </w:rPr>
      <w:fldChar w:fldCharType="end"/>
    </w:r>
    <w:r w:rsidR="004604D3" w:rsidRPr="008C0A74">
      <w:rPr>
        <w:b/>
        <w:color w:val="FFFFFF" w:themeColor="background1"/>
      </w:rPr>
      <w:tab/>
    </w:r>
    <w:r w:rsidR="004604D3">
      <w:rPr>
        <w:b/>
      </w:rPr>
      <w:t>The factors affecting the educational and occupational aspirations of young Australians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9775C7" w:rsidRDefault="00170BFE" w:rsidP="008C0A74">
    <w:pPr>
      <w:pStyle w:val="Footer"/>
      <w:tabs>
        <w:tab w:val="clear" w:pos="8505"/>
        <w:tab w:val="right" w:pos="8789"/>
      </w:tabs>
      <w:rPr>
        <w:color w:val="FFFFFF" w:themeColor="background1"/>
      </w:rPr>
    </w:pPr>
    <w:r>
      <w:rPr>
        <w:b/>
        <w:noProof/>
        <w:lang w:eastAsia="en-AU"/>
      </w:rPr>
      <w:pict>
        <v:rect id="_x0000_s2056" style="position:absolute;margin-left:425.6pt;margin-top:-2.45pt;width:99pt;height:18.75pt;z-index:-251644928" fillcolor="black [3213]" stroked="f" strokecolor="#bfbfbf [2412]"/>
      </w:pict>
    </w:r>
    <w:r w:rsidR="004604D3" w:rsidRPr="009775C7">
      <w:rPr>
        <w:b/>
      </w:rPr>
      <w:t>NCVER</w:t>
    </w:r>
    <w:r w:rsidR="004604D3" w:rsidRPr="009775C7">
      <w:tab/>
    </w:r>
    <w:r w:rsidR="004604D3" w:rsidRPr="009775C7">
      <w:rPr>
        <w:rStyle w:val="PageNumber"/>
        <w:rFonts w:cs="Tahoma"/>
        <w:b/>
        <w:color w:val="FFFFFF" w:themeColor="background1"/>
        <w:sz w:val="17"/>
      </w:rPr>
      <w:fldChar w:fldCharType="begin"/>
    </w:r>
    <w:r w:rsidR="004604D3" w:rsidRPr="009775C7">
      <w:rPr>
        <w:rStyle w:val="PageNumber"/>
        <w:rFonts w:cs="Tahoma"/>
        <w:b/>
        <w:color w:val="FFFFFF" w:themeColor="background1"/>
        <w:sz w:val="17"/>
      </w:rPr>
      <w:instrText xml:space="preserve"> PAGE </w:instrText>
    </w:r>
    <w:r w:rsidR="004604D3" w:rsidRPr="009775C7">
      <w:rPr>
        <w:rStyle w:val="PageNumber"/>
        <w:rFonts w:cs="Tahoma"/>
        <w:b/>
        <w:color w:val="FFFFFF" w:themeColor="background1"/>
        <w:sz w:val="17"/>
      </w:rPr>
      <w:fldChar w:fldCharType="separate"/>
    </w:r>
    <w:r w:rsidR="004604D3">
      <w:rPr>
        <w:rStyle w:val="PageNumber"/>
        <w:rFonts w:cs="Tahoma"/>
        <w:b/>
        <w:noProof/>
        <w:color w:val="FFFFFF" w:themeColor="background1"/>
        <w:sz w:val="17"/>
      </w:rPr>
      <w:t>21</w:t>
    </w:r>
    <w:r w:rsidR="004604D3" w:rsidRPr="009775C7">
      <w:rPr>
        <w:rStyle w:val="PageNumber"/>
        <w:rFonts w:cs="Tahoma"/>
        <w:b/>
        <w:color w:val="FFFFFF" w:themeColor="background1"/>
        <w:sz w:val="17"/>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D3" w:rsidRPr="008C0A74" w:rsidRDefault="004604D3" w:rsidP="00FF5931">
    <w:pPr>
      <w:pStyle w:val="Footer"/>
      <w:tabs>
        <w:tab w:val="clear" w:pos="8505"/>
        <w:tab w:val="right" w:pos="8789"/>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D3" w:rsidRDefault="004604D3">
      <w:r>
        <w:separator/>
      </w:r>
    </w:p>
  </w:footnote>
  <w:footnote w:type="continuationSeparator" w:id="0">
    <w:p w:rsidR="004604D3" w:rsidRDefault="004604D3">
      <w:r>
        <w:continuationSeparator/>
      </w:r>
    </w:p>
  </w:footnote>
  <w:footnote w:id="1">
    <w:p w:rsidR="004604D3" w:rsidRDefault="004604D3" w:rsidP="00BF6B8E">
      <w:pPr>
        <w:pStyle w:val="FootnoteText"/>
      </w:pPr>
      <w:r>
        <w:rPr>
          <w:rStyle w:val="FootnoteReference"/>
        </w:rPr>
        <w:footnoteRef/>
      </w:r>
      <w:r>
        <w:t xml:space="preserve"> </w:t>
      </w:r>
      <w:r>
        <w:tab/>
        <w:t xml:space="preserve">For a more comprehensive review of recent literature on young people’s educational and occupational aspirations readers are referred to the Nguyen and Blomberg briefing </w:t>
      </w:r>
      <w:r w:rsidRPr="00355C36">
        <w:t>paper (2014).</w:t>
      </w:r>
      <w:r>
        <w:t xml:space="preserve"> </w:t>
      </w:r>
    </w:p>
  </w:footnote>
  <w:footnote w:id="2">
    <w:p w:rsidR="004604D3" w:rsidRDefault="004604D3" w:rsidP="00F30F22">
      <w:pPr>
        <w:pStyle w:val="FootnoteText"/>
        <w:ind w:right="141"/>
      </w:pPr>
      <w:r>
        <w:rPr>
          <w:rStyle w:val="FootnoteReference"/>
        </w:rPr>
        <w:footnoteRef/>
      </w:r>
      <w:r>
        <w:t xml:space="preserve"> </w:t>
      </w:r>
      <w:r>
        <w:tab/>
        <w:t>Although the terms ‘expectations’ and ‘aspirations’ are often used interchangeably, in formal terms they represent slightly different concepts.</w:t>
      </w:r>
      <w:r w:rsidRPr="00560432">
        <w:t xml:space="preserve"> </w:t>
      </w:r>
      <w:r>
        <w:t>The term ‘a</w:t>
      </w:r>
      <w:r w:rsidRPr="00560432">
        <w:t>spi</w:t>
      </w:r>
      <w:r>
        <w:t xml:space="preserve">rations’ captures a more </w:t>
      </w:r>
      <w:r w:rsidRPr="00765A67">
        <w:t>idealised</w:t>
      </w:r>
      <w:r>
        <w:t xml:space="preserve"> notion of what one would like to accomplish, whereas</w:t>
      </w:r>
      <w:r w:rsidRPr="00560432">
        <w:t xml:space="preserve"> </w:t>
      </w:r>
      <w:r>
        <w:t>‘</w:t>
      </w:r>
      <w:r w:rsidRPr="00560432">
        <w:t>expectations</w:t>
      </w:r>
      <w:r>
        <w:t>’</w:t>
      </w:r>
      <w:r w:rsidRPr="00560432">
        <w:t xml:space="preserve"> form</w:t>
      </w:r>
      <w:r>
        <w:t>s</w:t>
      </w:r>
      <w:r w:rsidRPr="00560432">
        <w:t xml:space="preserve"> a more</w:t>
      </w:r>
      <w:r w:rsidRPr="00765A67">
        <w:t xml:space="preserve"> </w:t>
      </w:r>
      <w:r>
        <w:t xml:space="preserve">realistic </w:t>
      </w:r>
      <w:r w:rsidRPr="00560432">
        <w:t>assessment of one</w:t>
      </w:r>
      <w:r>
        <w:t>’</w:t>
      </w:r>
      <w:r w:rsidRPr="00560432">
        <w:t>s possibilities f</w:t>
      </w:r>
      <w:r>
        <w:t>or future achievements (Reynolds &amp; Pemberton</w:t>
      </w:r>
      <w:r w:rsidRPr="00560432">
        <w:t xml:space="preserve"> 2001</w:t>
      </w:r>
      <w:r>
        <w:t>). For simplicity, the terms ‘expectations’ and ‘aspirations’ are used synonymously throughout this report.</w:t>
      </w:r>
    </w:p>
  </w:footnote>
  <w:footnote w:id="3">
    <w:p w:rsidR="004604D3" w:rsidRDefault="004604D3">
      <w:pPr>
        <w:pStyle w:val="FootnoteText"/>
      </w:pPr>
      <w:r>
        <w:rPr>
          <w:rStyle w:val="FootnoteReference"/>
        </w:rPr>
        <w:footnoteRef/>
      </w:r>
      <w:r>
        <w:t xml:space="preserve"> </w:t>
      </w:r>
      <w:r>
        <w:tab/>
        <w:t>In addition to the 2009 LSAY cohort, the final section of this report also used the earlier 1998 LSAY cohort.</w:t>
      </w:r>
    </w:p>
  </w:footnote>
  <w:footnote w:id="4">
    <w:p w:rsidR="004604D3" w:rsidRDefault="004604D3">
      <w:pPr>
        <w:pStyle w:val="FootnoteText"/>
      </w:pPr>
      <w:r>
        <w:rPr>
          <w:rStyle w:val="FootnoteReference"/>
        </w:rPr>
        <w:footnoteRef/>
      </w:r>
      <w:r>
        <w:t xml:space="preserve"> </w:t>
      </w:r>
      <w:r>
        <w:tab/>
        <w:t xml:space="preserve">See </w:t>
      </w:r>
      <w:r w:rsidRPr="00F23E33">
        <w:t xml:space="preserve">descriptive </w:t>
      </w:r>
      <w:r>
        <w:t>statistics in section</w:t>
      </w:r>
      <w:r w:rsidRPr="00F23E33">
        <w:t xml:space="preserve"> A</w:t>
      </w:r>
      <w:r>
        <w:t xml:space="preserve"> of the accompanying support document.</w:t>
      </w:r>
      <w:r w:rsidRPr="00F23E33">
        <w:t xml:space="preserve"> </w:t>
      </w:r>
      <w:r>
        <w:t>Missing data were addressed using m</w:t>
      </w:r>
      <w:r w:rsidRPr="00F23E33">
        <w:t>ultiple i</w:t>
      </w:r>
      <w:r>
        <w:t>mputation (Rubin 1987). Specifically</w:t>
      </w:r>
      <w:r w:rsidRPr="00F23E33">
        <w:t>, SAS software was</w:t>
      </w:r>
      <w:r>
        <w:t xml:space="preserve"> used to create and analyse </w:t>
      </w:r>
      <w:r w:rsidRPr="00F23E33">
        <w:t>20 imputed datasets using multiple imp</w:t>
      </w:r>
      <w:r>
        <w:t xml:space="preserve">utation. Details on </w:t>
      </w:r>
      <w:r w:rsidRPr="00F23E33">
        <w:t xml:space="preserve">multiple imputation and how to implement the method using SAS </w:t>
      </w:r>
      <w:r>
        <w:t xml:space="preserve">are provided in Gemici, Bednarz &amp; Lim </w:t>
      </w:r>
      <w:r w:rsidRPr="00F23E33">
        <w:t>(2011).</w:t>
      </w:r>
    </w:p>
  </w:footnote>
  <w:footnote w:id="5">
    <w:p w:rsidR="004604D3" w:rsidRDefault="004604D3" w:rsidP="008625CD">
      <w:pPr>
        <w:pStyle w:val="FootnoteText"/>
      </w:pPr>
      <w:r>
        <w:rPr>
          <w:rStyle w:val="FootnoteReference"/>
        </w:rPr>
        <w:footnoteRef/>
      </w:r>
      <w:r>
        <w:t xml:space="preserve"> </w:t>
      </w:r>
      <w:r>
        <w:tab/>
        <w:t xml:space="preserve">One of the answer choices asks whether students are planning to take a gap year after leaving school. It would have been preferable to have an outcome covering those planning to go to university immediately </w:t>
      </w:r>
      <w:r>
        <w:rPr>
          <w:i/>
        </w:rPr>
        <w:t>or within one</w:t>
      </w:r>
      <w:r w:rsidRPr="003A09EF">
        <w:rPr>
          <w:i/>
        </w:rPr>
        <w:t xml:space="preserve"> year</w:t>
      </w:r>
      <w:r>
        <w:rPr>
          <w:i/>
        </w:rPr>
        <w:t xml:space="preserve"> after leaving school</w:t>
      </w:r>
      <w:r>
        <w:t xml:space="preserve"> (to account for gap years); however, the LSAY questionnaire does not accommodate this. According to </w:t>
      </w:r>
      <w:r>
        <w:rPr>
          <w:spacing w:val="1"/>
        </w:rPr>
        <w:t>Lumsden &amp; Stanwick (2012), 24% of Year 12 completers took gap years in 2009—10.</w:t>
      </w:r>
    </w:p>
  </w:footnote>
  <w:footnote w:id="6">
    <w:p w:rsidR="004604D3" w:rsidRDefault="004604D3">
      <w:pPr>
        <w:pStyle w:val="FootnoteText"/>
      </w:pPr>
      <w:r>
        <w:rPr>
          <w:rStyle w:val="FootnoteReference"/>
        </w:rPr>
        <w:footnoteRef/>
      </w:r>
      <w:r>
        <w:t xml:space="preserve"> </w:t>
      </w:r>
      <w:r>
        <w:tab/>
        <w:t>SES was determined using</w:t>
      </w:r>
      <w:r w:rsidRPr="00F766F4">
        <w:t xml:space="preserve"> the </w:t>
      </w:r>
      <w:r>
        <w:t>i</w:t>
      </w:r>
      <w:r w:rsidRPr="00F766F4">
        <w:t xml:space="preserve">ndex of </w:t>
      </w:r>
      <w:r>
        <w:t>e</w:t>
      </w:r>
      <w:r w:rsidRPr="00F766F4">
        <w:t xml:space="preserve">conomic, </w:t>
      </w:r>
      <w:r>
        <w:t>s</w:t>
      </w:r>
      <w:r w:rsidRPr="00F766F4">
        <w:t xml:space="preserve">ocial, and </w:t>
      </w:r>
      <w:r>
        <w:t>c</w:t>
      </w:r>
      <w:r w:rsidRPr="00F766F4">
        <w:t xml:space="preserve">ultural </w:t>
      </w:r>
      <w:r>
        <w:t>s</w:t>
      </w:r>
      <w:r w:rsidRPr="00F766F4">
        <w:t xml:space="preserve">tatus (ESCS), which is a standard variable available in the </w:t>
      </w:r>
      <w:r>
        <w:t xml:space="preserve">2009 LSAY—PISA </w:t>
      </w:r>
      <w:r w:rsidRPr="00F766F4">
        <w:t xml:space="preserve">dataset. The ESCS index </w:t>
      </w:r>
      <w:r>
        <w:t>is a summary measure that jointly reflects</w:t>
      </w:r>
      <w:r w:rsidRPr="00F766F4">
        <w:t xml:space="preserve"> parental</w:t>
      </w:r>
      <w:r>
        <w:t xml:space="preserve"> occupation, parental education</w:t>
      </w:r>
      <w:r w:rsidRPr="00F766F4">
        <w:t xml:space="preserve"> and </w:t>
      </w:r>
      <w:r>
        <w:t xml:space="preserve">a wide range of </w:t>
      </w:r>
      <w:r w:rsidRPr="00F766F4">
        <w:t>home possessions</w:t>
      </w:r>
      <w:r>
        <w:t xml:space="preserve"> (see OECD 2012 for details)</w:t>
      </w:r>
      <w:r w:rsidRPr="00F766F4">
        <w:t>.</w:t>
      </w:r>
    </w:p>
  </w:footnote>
  <w:footnote w:id="7">
    <w:p w:rsidR="004604D3" w:rsidRDefault="004604D3">
      <w:pPr>
        <w:pStyle w:val="FootnoteText"/>
      </w:pPr>
      <w:r>
        <w:rPr>
          <w:rStyle w:val="FootnoteReference"/>
        </w:rPr>
        <w:footnoteRef/>
      </w:r>
      <w:r>
        <w:t xml:space="preserve"> </w:t>
      </w:r>
      <w:r>
        <w:tab/>
        <w:t>The potential effect of this is that the correlation between students’ own aspirations and the reported parental and peer influences may be inflated.</w:t>
      </w:r>
    </w:p>
  </w:footnote>
  <w:footnote w:id="8">
    <w:p w:rsidR="004604D3" w:rsidRDefault="004604D3" w:rsidP="00076F49">
      <w:pPr>
        <w:pStyle w:val="FootnoteText"/>
      </w:pPr>
      <w:r>
        <w:rPr>
          <w:rStyle w:val="FootnoteReference"/>
        </w:rPr>
        <w:footnoteRef/>
      </w:r>
      <w:r>
        <w:t xml:space="preserve"> </w:t>
      </w:r>
      <w:r>
        <w:tab/>
        <w:t>PISA calculates five plausible value scores per domain and student (see OECD 2012 for details). The academic performance measure used in this study was calculated from the first of the five plausible value scores.</w:t>
      </w:r>
    </w:p>
  </w:footnote>
  <w:footnote w:id="9">
    <w:p w:rsidR="004604D3" w:rsidRDefault="004604D3" w:rsidP="005051F4">
      <w:pPr>
        <w:pStyle w:val="FootnoteText"/>
      </w:pPr>
      <w:r>
        <w:rPr>
          <w:rStyle w:val="FootnoteReference"/>
        </w:rPr>
        <w:footnoteRef/>
      </w:r>
      <w:r>
        <w:t xml:space="preserve"> </w:t>
      </w:r>
      <w:r>
        <w:tab/>
        <w:t>‘Pooling’ is the process of combining the parameter estimates from each imputed dataset to obtain a final single set of parameter estimates. Further details on multiple imputation are provided in Gemici et al. (2011).</w:t>
      </w:r>
    </w:p>
  </w:footnote>
  <w:footnote w:id="10">
    <w:p w:rsidR="004604D3" w:rsidRDefault="004604D3">
      <w:pPr>
        <w:pStyle w:val="FootnoteText"/>
      </w:pPr>
      <w:r>
        <w:rPr>
          <w:rStyle w:val="FootnoteReference"/>
        </w:rPr>
        <w:footnoteRef/>
      </w:r>
      <w:r>
        <w:t xml:space="preserve"> </w:t>
      </w:r>
      <w:r>
        <w:tab/>
        <w:t>For instance, in the case of plans to complete Year 12, the odds ratio for foreign-born students represents the probability that foreign-born students plan to complete Year 12 relative to the odds of Australian-born students, who are the reference category.</w:t>
      </w:r>
      <w:r w:rsidRPr="009B4F99">
        <w:t xml:space="preserve"> </w:t>
      </w:r>
      <w:r>
        <w:t>If the probabilities</w:t>
      </w:r>
      <w:r w:rsidRPr="004F4A11">
        <w:t xml:space="preserve"> are equal</w:t>
      </w:r>
      <w:r>
        <w:t xml:space="preserve"> for both foreign-born and Australian-born students, </w:t>
      </w:r>
      <w:r w:rsidRPr="004F4A11">
        <w:t>the odds ratio will be 1</w:t>
      </w:r>
      <w:r>
        <w:t>.</w:t>
      </w:r>
      <w:r w:rsidRPr="004F4A11">
        <w:t xml:space="preserve"> </w:t>
      </w:r>
      <w:r>
        <w:t>I</w:t>
      </w:r>
      <w:r w:rsidRPr="004F4A11">
        <w:t xml:space="preserve">f the </w:t>
      </w:r>
      <w:r>
        <w:t>probability</w:t>
      </w:r>
      <w:r w:rsidRPr="004F4A11">
        <w:t xml:space="preserve"> </w:t>
      </w:r>
      <w:r>
        <w:t>of planning to complete Year 12 is greater for foreign-born students</w:t>
      </w:r>
      <w:r w:rsidRPr="004F4A11">
        <w:t xml:space="preserve">, the odds ratio will be greater than 1. </w:t>
      </w:r>
      <w:r>
        <w:t xml:space="preserve">Likewise, if the probability is greater for Australian-born students, the odds ratio will be less than 1. For </w:t>
      </w:r>
      <w:r w:rsidRPr="009B4F99">
        <w:t>continuous</w:t>
      </w:r>
      <w:r>
        <w:t xml:space="preserve"> predictors such as SES, the odds ratio is interpreted as </w:t>
      </w:r>
      <w:r w:rsidRPr="009B4F99">
        <w:t xml:space="preserve">the </w:t>
      </w:r>
      <w:r>
        <w:t xml:space="preserve">change in the probability </w:t>
      </w:r>
      <w:r w:rsidRPr="009B4F99">
        <w:t xml:space="preserve">of </w:t>
      </w:r>
      <w:r>
        <w:t xml:space="preserve">being enrolled at university </w:t>
      </w:r>
      <w:r w:rsidRPr="005123CE">
        <w:t>as a result of a</w:t>
      </w:r>
      <w:r>
        <w:t xml:space="preserve"> one-unit change in the predictor’s respective unit of measurement. For the standardised SES variable, this means a change of one standard deviation.</w:t>
      </w:r>
    </w:p>
  </w:footnote>
  <w:footnote w:id="11">
    <w:p w:rsidR="004604D3" w:rsidRDefault="004604D3" w:rsidP="006717C5">
      <w:pPr>
        <w:pStyle w:val="FootnoteText"/>
      </w:pPr>
      <w:r>
        <w:rPr>
          <w:rStyle w:val="FootnoteReference"/>
        </w:rPr>
        <w:footnoteRef/>
      </w:r>
      <w:r>
        <w:t xml:space="preserve"> </w:t>
      </w:r>
      <w:r>
        <w:tab/>
        <w:t>For technical details on CHAID, readers are referred to Biggs, De Ville &amp; Suen (1991) or Magidson (1993).</w:t>
      </w:r>
    </w:p>
  </w:footnote>
  <w:footnote w:id="12">
    <w:p w:rsidR="004604D3" w:rsidRDefault="004604D3">
      <w:pPr>
        <w:pStyle w:val="FootnoteText"/>
      </w:pPr>
      <w:r>
        <w:rPr>
          <w:rStyle w:val="FootnoteReference"/>
        </w:rPr>
        <w:footnoteRef/>
      </w:r>
      <w:r>
        <w:t xml:space="preserve"> </w:t>
      </w:r>
      <w:r>
        <w:tab/>
        <w:t>As can be seen in figure 1, academic performance appears a second time on the bottom level of the tree diagram. To clarify, this means that for those students who fall into the medium academic performance group and whose parents’ plans are for them to not go to university, academic performance becomes the third most important variable for whatever variable would appear on the fourth level of the tree (not depicted).</w:t>
      </w:r>
    </w:p>
  </w:footnote>
  <w:footnote w:id="13">
    <w:p w:rsidR="004604D3" w:rsidRDefault="004604D3" w:rsidP="00B54EBB">
      <w:pPr>
        <w:pStyle w:val="FootnoteText"/>
      </w:pPr>
      <w:r>
        <w:rPr>
          <w:rStyle w:val="FootnoteReference"/>
        </w:rPr>
        <w:footnoteRef/>
      </w:r>
      <w:r>
        <w:t xml:space="preserve"> </w:t>
      </w:r>
      <w:r>
        <w:tab/>
        <w:t xml:space="preserve">PACTS has been in operation since 2003. </w:t>
      </w:r>
      <w:r>
        <w:rPr>
          <w:lang w:eastAsia="en-AU"/>
        </w:rPr>
        <w:t>In May 2013, as part of the National Career Development Strategy, the Commonwealth Government announced funding of $1.15 million to expand the PACTS program in order to deliver workshops to over 28 000 parents across Australia (National Employment Services Association 2013).</w:t>
      </w:r>
    </w:p>
  </w:footnote>
  <w:footnote w:id="14">
    <w:p w:rsidR="004604D3" w:rsidRDefault="004604D3" w:rsidP="00384A07">
      <w:pPr>
        <w:pStyle w:val="FootnoteText"/>
      </w:pPr>
      <w:r>
        <w:rPr>
          <w:rStyle w:val="FootnoteReference"/>
        </w:rPr>
        <w:footnoteRef/>
      </w:r>
      <w:r>
        <w:t xml:space="preserve"> </w:t>
      </w:r>
      <w:r>
        <w:tab/>
        <w:t>LSAY 19</w:t>
      </w:r>
      <w:r w:rsidRPr="002D21F4">
        <w:t>98 cohort, 1999 survey, available at &lt;http://www.lsay.edu.au/publications/2057.html&gt;.</w:t>
      </w:r>
      <w:r w:rsidRPr="00375C36">
        <w:rPr>
          <w:rFonts w:eastAsia="Calibri"/>
        </w:rPr>
        <w:t xml:space="preserve"> </w:t>
      </w:r>
      <w:r>
        <w:rPr>
          <w:rFonts w:eastAsia="Calibri"/>
        </w:rPr>
        <w:t>Note that the wording of this question in the LSAY 1998 cohort differs slightly from that asked of the 2009 cohort (used in the previous models), which asked: ‘</w:t>
      </w:r>
      <w:r w:rsidRPr="002D21F4">
        <w:rPr>
          <w:rFonts w:eastAsia="Calibri"/>
        </w:rPr>
        <w:t>What kind of job do you expect to have when you are about 30 years old?</w:t>
      </w:r>
      <w:r>
        <w:rPr>
          <w:rFonts w:eastAsia="Calibri"/>
        </w:rPr>
        <w:t>’.</w:t>
      </w:r>
    </w:p>
  </w:footnote>
  <w:footnote w:id="15">
    <w:p w:rsidR="004604D3" w:rsidRDefault="004604D3" w:rsidP="00A3381A">
      <w:pPr>
        <w:pStyle w:val="FootnoteText"/>
      </w:pPr>
      <w:r>
        <w:rPr>
          <w:rStyle w:val="FootnoteReference"/>
        </w:rPr>
        <w:footnoteRef/>
      </w:r>
      <w:r>
        <w:t xml:space="preserve"> </w:t>
      </w:r>
      <w:r>
        <w:tab/>
        <w:t>Note that the ANU4 scale is an older version of the AUSEI06 scale. The correlation between them is very high (0.98), so both scales are treated here as essentially identical (see McMillan et al. 2009).</w:t>
      </w:r>
    </w:p>
  </w:footnote>
  <w:footnote w:id="16">
    <w:p w:rsidR="004604D3" w:rsidRDefault="004604D3">
      <w:pPr>
        <w:pStyle w:val="FootnoteText"/>
      </w:pPr>
      <w:r>
        <w:rPr>
          <w:rStyle w:val="FootnoteReference"/>
        </w:rPr>
        <w:footnoteRef/>
      </w:r>
      <w:r>
        <w:t xml:space="preserve"> </w:t>
      </w:r>
      <w:r>
        <w:tab/>
      </w:r>
      <w:r w:rsidRPr="0044396D">
        <w:t>The job an LSAY participant aspired to at age 15</w:t>
      </w:r>
      <w:r>
        <w:t xml:space="preserve"> years</w:t>
      </w:r>
      <w:r w:rsidRPr="0044396D">
        <w:t>, coded using ASCO 2</w:t>
      </w:r>
      <w:r w:rsidRPr="002453AA">
        <w:t xml:space="preserve">nd </w:t>
      </w:r>
      <w:r w:rsidRPr="0044396D">
        <w:t>edition at the 4-digit level, was recoded to a continuous measure of job status using the ANU4 scale (IPUMS-International Australia 2013; Jones &amp; McMillan 2001). Similarly, a participant’s job at age 25</w:t>
      </w:r>
      <w:r>
        <w:t xml:space="preserve"> years</w:t>
      </w:r>
      <w:r w:rsidRPr="0044396D">
        <w:t>, coded using ANZSCO 2</w:t>
      </w:r>
      <w:r w:rsidRPr="002453AA">
        <w:t>nd</w:t>
      </w:r>
      <w:r w:rsidRPr="0044396D">
        <w:t xml:space="preserve"> edition at the 4-digit level, was recoded to a continuous measure of job status using the AUSEI06 scale (McMillan et al.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8456463"/>
    <w:multiLevelType w:val="hybridMultilevel"/>
    <w:tmpl w:val="CAF0DD70"/>
    <w:lvl w:ilvl="0" w:tplc="F28C901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
    <w:nsid w:val="242549AD"/>
    <w:multiLevelType w:val="hybridMultilevel"/>
    <w:tmpl w:val="584825A8"/>
    <w:lvl w:ilvl="0" w:tplc="5FE06E84">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nsid w:val="28D36491"/>
    <w:multiLevelType w:val="hybridMultilevel"/>
    <w:tmpl w:val="C46AB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63">
      <o:colormenu v:ext="edit" fillcolor="none [3212]"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2350"/>
    <w:rsid w:val="00002A79"/>
    <w:rsid w:val="0000486A"/>
    <w:rsid w:val="00007B20"/>
    <w:rsid w:val="000108B2"/>
    <w:rsid w:val="00011B69"/>
    <w:rsid w:val="00012B64"/>
    <w:rsid w:val="00012E0B"/>
    <w:rsid w:val="00013265"/>
    <w:rsid w:val="00013AF5"/>
    <w:rsid w:val="000141F3"/>
    <w:rsid w:val="00015615"/>
    <w:rsid w:val="00015A1A"/>
    <w:rsid w:val="00016159"/>
    <w:rsid w:val="00017094"/>
    <w:rsid w:val="000206FF"/>
    <w:rsid w:val="00022290"/>
    <w:rsid w:val="000225DF"/>
    <w:rsid w:val="00023A83"/>
    <w:rsid w:val="00023B29"/>
    <w:rsid w:val="000268AC"/>
    <w:rsid w:val="000277C1"/>
    <w:rsid w:val="00027DD9"/>
    <w:rsid w:val="000315D7"/>
    <w:rsid w:val="00033CA5"/>
    <w:rsid w:val="000340AA"/>
    <w:rsid w:val="00035275"/>
    <w:rsid w:val="00035803"/>
    <w:rsid w:val="0003711C"/>
    <w:rsid w:val="00037CBE"/>
    <w:rsid w:val="00037DF6"/>
    <w:rsid w:val="00041944"/>
    <w:rsid w:val="00042888"/>
    <w:rsid w:val="00043514"/>
    <w:rsid w:val="00045D3B"/>
    <w:rsid w:val="000464B1"/>
    <w:rsid w:val="00046C85"/>
    <w:rsid w:val="00047412"/>
    <w:rsid w:val="00047F27"/>
    <w:rsid w:val="00050C71"/>
    <w:rsid w:val="00053302"/>
    <w:rsid w:val="00054DE3"/>
    <w:rsid w:val="000552CD"/>
    <w:rsid w:val="00055EB7"/>
    <w:rsid w:val="00056E13"/>
    <w:rsid w:val="00057FDF"/>
    <w:rsid w:val="0006125F"/>
    <w:rsid w:val="00064942"/>
    <w:rsid w:val="00066750"/>
    <w:rsid w:val="00066CB3"/>
    <w:rsid w:val="000722BD"/>
    <w:rsid w:val="00073BA4"/>
    <w:rsid w:val="00074BD4"/>
    <w:rsid w:val="00075137"/>
    <w:rsid w:val="0007661F"/>
    <w:rsid w:val="000767FD"/>
    <w:rsid w:val="00076D51"/>
    <w:rsid w:val="00076F49"/>
    <w:rsid w:val="000772F7"/>
    <w:rsid w:val="000824B3"/>
    <w:rsid w:val="0008283D"/>
    <w:rsid w:val="00084C40"/>
    <w:rsid w:val="00086C1C"/>
    <w:rsid w:val="00087533"/>
    <w:rsid w:val="00090E72"/>
    <w:rsid w:val="00090EBC"/>
    <w:rsid w:val="00092A6A"/>
    <w:rsid w:val="00093F8F"/>
    <w:rsid w:val="00094D79"/>
    <w:rsid w:val="000961DF"/>
    <w:rsid w:val="0009786C"/>
    <w:rsid w:val="00097AC7"/>
    <w:rsid w:val="000A0001"/>
    <w:rsid w:val="000A0745"/>
    <w:rsid w:val="000A214B"/>
    <w:rsid w:val="000A499F"/>
    <w:rsid w:val="000A6A0A"/>
    <w:rsid w:val="000B081E"/>
    <w:rsid w:val="000B1B55"/>
    <w:rsid w:val="000B20BE"/>
    <w:rsid w:val="000B6167"/>
    <w:rsid w:val="000B6EC8"/>
    <w:rsid w:val="000B743B"/>
    <w:rsid w:val="000B79B5"/>
    <w:rsid w:val="000C1409"/>
    <w:rsid w:val="000C62F8"/>
    <w:rsid w:val="000C6446"/>
    <w:rsid w:val="000D02AA"/>
    <w:rsid w:val="000D1085"/>
    <w:rsid w:val="000D24DE"/>
    <w:rsid w:val="000D3A04"/>
    <w:rsid w:val="000D5FCC"/>
    <w:rsid w:val="000D6A47"/>
    <w:rsid w:val="000D7F16"/>
    <w:rsid w:val="000E0592"/>
    <w:rsid w:val="000E1039"/>
    <w:rsid w:val="000E2458"/>
    <w:rsid w:val="000E2C71"/>
    <w:rsid w:val="000E61A3"/>
    <w:rsid w:val="000F0651"/>
    <w:rsid w:val="000F0F79"/>
    <w:rsid w:val="000F1298"/>
    <w:rsid w:val="000F151A"/>
    <w:rsid w:val="000F36DA"/>
    <w:rsid w:val="000F43A6"/>
    <w:rsid w:val="000F4DED"/>
    <w:rsid w:val="000F548D"/>
    <w:rsid w:val="000F641C"/>
    <w:rsid w:val="000F6BC5"/>
    <w:rsid w:val="000F7AC7"/>
    <w:rsid w:val="001005F2"/>
    <w:rsid w:val="001008C8"/>
    <w:rsid w:val="00101BA0"/>
    <w:rsid w:val="00105648"/>
    <w:rsid w:val="0010761A"/>
    <w:rsid w:val="00112FFF"/>
    <w:rsid w:val="0011333F"/>
    <w:rsid w:val="001148C2"/>
    <w:rsid w:val="00115C18"/>
    <w:rsid w:val="0011698E"/>
    <w:rsid w:val="00116E76"/>
    <w:rsid w:val="0011771B"/>
    <w:rsid w:val="001178CE"/>
    <w:rsid w:val="001219F9"/>
    <w:rsid w:val="00121AB4"/>
    <w:rsid w:val="00122E0F"/>
    <w:rsid w:val="00123B5C"/>
    <w:rsid w:val="0012649E"/>
    <w:rsid w:val="00127CAB"/>
    <w:rsid w:val="001333D1"/>
    <w:rsid w:val="00133B8B"/>
    <w:rsid w:val="00133C81"/>
    <w:rsid w:val="00135C75"/>
    <w:rsid w:val="00136009"/>
    <w:rsid w:val="0014099C"/>
    <w:rsid w:val="00140BFA"/>
    <w:rsid w:val="00140C7F"/>
    <w:rsid w:val="00140CF4"/>
    <w:rsid w:val="00141057"/>
    <w:rsid w:val="001416E6"/>
    <w:rsid w:val="0014223D"/>
    <w:rsid w:val="0014289A"/>
    <w:rsid w:val="00143F32"/>
    <w:rsid w:val="001440FD"/>
    <w:rsid w:val="00145879"/>
    <w:rsid w:val="0014764F"/>
    <w:rsid w:val="00150874"/>
    <w:rsid w:val="001509F3"/>
    <w:rsid w:val="00150F5D"/>
    <w:rsid w:val="001510A2"/>
    <w:rsid w:val="00151575"/>
    <w:rsid w:val="00152393"/>
    <w:rsid w:val="001537DA"/>
    <w:rsid w:val="00153B29"/>
    <w:rsid w:val="001544D4"/>
    <w:rsid w:val="00155839"/>
    <w:rsid w:val="00155A75"/>
    <w:rsid w:val="00156235"/>
    <w:rsid w:val="001567C1"/>
    <w:rsid w:val="00157F22"/>
    <w:rsid w:val="00160BED"/>
    <w:rsid w:val="0016133C"/>
    <w:rsid w:val="001615FC"/>
    <w:rsid w:val="00161D74"/>
    <w:rsid w:val="00166EF6"/>
    <w:rsid w:val="0017009A"/>
    <w:rsid w:val="00170452"/>
    <w:rsid w:val="0017089D"/>
    <w:rsid w:val="00170BFE"/>
    <w:rsid w:val="001712C4"/>
    <w:rsid w:val="00172478"/>
    <w:rsid w:val="00173B26"/>
    <w:rsid w:val="001753E1"/>
    <w:rsid w:val="00176008"/>
    <w:rsid w:val="00176912"/>
    <w:rsid w:val="00177827"/>
    <w:rsid w:val="00183442"/>
    <w:rsid w:val="00184504"/>
    <w:rsid w:val="001849EE"/>
    <w:rsid w:val="0018708F"/>
    <w:rsid w:val="00190035"/>
    <w:rsid w:val="0019111B"/>
    <w:rsid w:val="0019355C"/>
    <w:rsid w:val="0019447D"/>
    <w:rsid w:val="00195C35"/>
    <w:rsid w:val="0019604D"/>
    <w:rsid w:val="001A38EE"/>
    <w:rsid w:val="001B32D6"/>
    <w:rsid w:val="001B3B91"/>
    <w:rsid w:val="001B3CB4"/>
    <w:rsid w:val="001B43CF"/>
    <w:rsid w:val="001B504D"/>
    <w:rsid w:val="001B5166"/>
    <w:rsid w:val="001B6198"/>
    <w:rsid w:val="001B6D87"/>
    <w:rsid w:val="001C3A41"/>
    <w:rsid w:val="001C4C15"/>
    <w:rsid w:val="001C6881"/>
    <w:rsid w:val="001C71EB"/>
    <w:rsid w:val="001C7A87"/>
    <w:rsid w:val="001C7DBC"/>
    <w:rsid w:val="001D02E7"/>
    <w:rsid w:val="001D0946"/>
    <w:rsid w:val="001D11BE"/>
    <w:rsid w:val="001D1FC3"/>
    <w:rsid w:val="001D3B13"/>
    <w:rsid w:val="001D46AF"/>
    <w:rsid w:val="001D4D4D"/>
    <w:rsid w:val="001D4F84"/>
    <w:rsid w:val="001D72A4"/>
    <w:rsid w:val="001D792E"/>
    <w:rsid w:val="001E0DAA"/>
    <w:rsid w:val="001E2799"/>
    <w:rsid w:val="001E5BC1"/>
    <w:rsid w:val="001E5C09"/>
    <w:rsid w:val="001E683C"/>
    <w:rsid w:val="001E6C45"/>
    <w:rsid w:val="001F0208"/>
    <w:rsid w:val="001F0758"/>
    <w:rsid w:val="001F1C7A"/>
    <w:rsid w:val="001F7D84"/>
    <w:rsid w:val="00200A8F"/>
    <w:rsid w:val="00200FF2"/>
    <w:rsid w:val="00201C36"/>
    <w:rsid w:val="002028E4"/>
    <w:rsid w:val="002029F1"/>
    <w:rsid w:val="002047CD"/>
    <w:rsid w:val="0020668F"/>
    <w:rsid w:val="00207B6C"/>
    <w:rsid w:val="00207C77"/>
    <w:rsid w:val="0021129F"/>
    <w:rsid w:val="00212AC0"/>
    <w:rsid w:val="00212CA7"/>
    <w:rsid w:val="002142FA"/>
    <w:rsid w:val="00214650"/>
    <w:rsid w:val="00214A04"/>
    <w:rsid w:val="00215BC0"/>
    <w:rsid w:val="00215E9D"/>
    <w:rsid w:val="00216126"/>
    <w:rsid w:val="0022079B"/>
    <w:rsid w:val="00220C33"/>
    <w:rsid w:val="00220E7E"/>
    <w:rsid w:val="00223590"/>
    <w:rsid w:val="00224DB9"/>
    <w:rsid w:val="00225D69"/>
    <w:rsid w:val="0022610F"/>
    <w:rsid w:val="002277A9"/>
    <w:rsid w:val="002304FF"/>
    <w:rsid w:val="002326B8"/>
    <w:rsid w:val="0023312A"/>
    <w:rsid w:val="00233BFA"/>
    <w:rsid w:val="0023440D"/>
    <w:rsid w:val="00234699"/>
    <w:rsid w:val="0023551A"/>
    <w:rsid w:val="002403A9"/>
    <w:rsid w:val="00241111"/>
    <w:rsid w:val="002426D4"/>
    <w:rsid w:val="00244108"/>
    <w:rsid w:val="00244C10"/>
    <w:rsid w:val="00245077"/>
    <w:rsid w:val="002453AA"/>
    <w:rsid w:val="00245A81"/>
    <w:rsid w:val="002468D0"/>
    <w:rsid w:val="00246E0B"/>
    <w:rsid w:val="002477A0"/>
    <w:rsid w:val="00250D4D"/>
    <w:rsid w:val="0025216B"/>
    <w:rsid w:val="0025515A"/>
    <w:rsid w:val="00256FA9"/>
    <w:rsid w:val="00257034"/>
    <w:rsid w:val="00260401"/>
    <w:rsid w:val="00272E72"/>
    <w:rsid w:val="002731A2"/>
    <w:rsid w:val="002733A5"/>
    <w:rsid w:val="00273814"/>
    <w:rsid w:val="0027568F"/>
    <w:rsid w:val="002759F1"/>
    <w:rsid w:val="0027697D"/>
    <w:rsid w:val="00277935"/>
    <w:rsid w:val="00277E5E"/>
    <w:rsid w:val="00277EAB"/>
    <w:rsid w:val="00281478"/>
    <w:rsid w:val="00282F8D"/>
    <w:rsid w:val="00284FCB"/>
    <w:rsid w:val="00286B6E"/>
    <w:rsid w:val="00287715"/>
    <w:rsid w:val="00290FD0"/>
    <w:rsid w:val="002924BA"/>
    <w:rsid w:val="002944C0"/>
    <w:rsid w:val="002962A7"/>
    <w:rsid w:val="002A465E"/>
    <w:rsid w:val="002A6EA3"/>
    <w:rsid w:val="002A78C7"/>
    <w:rsid w:val="002B07C7"/>
    <w:rsid w:val="002B0BB3"/>
    <w:rsid w:val="002B0BED"/>
    <w:rsid w:val="002B1318"/>
    <w:rsid w:val="002B1BE6"/>
    <w:rsid w:val="002B271F"/>
    <w:rsid w:val="002B2A70"/>
    <w:rsid w:val="002B341A"/>
    <w:rsid w:val="002B5450"/>
    <w:rsid w:val="002B5FD9"/>
    <w:rsid w:val="002B688B"/>
    <w:rsid w:val="002C6273"/>
    <w:rsid w:val="002C691A"/>
    <w:rsid w:val="002C70C8"/>
    <w:rsid w:val="002C78F6"/>
    <w:rsid w:val="002D1A17"/>
    <w:rsid w:val="002D21F4"/>
    <w:rsid w:val="002D46D9"/>
    <w:rsid w:val="002D4CF0"/>
    <w:rsid w:val="002D74FE"/>
    <w:rsid w:val="002E0E5B"/>
    <w:rsid w:val="002E196B"/>
    <w:rsid w:val="002E4243"/>
    <w:rsid w:val="002F03EC"/>
    <w:rsid w:val="002F1942"/>
    <w:rsid w:val="002F2D2A"/>
    <w:rsid w:val="002F2E8D"/>
    <w:rsid w:val="002F307A"/>
    <w:rsid w:val="002F5244"/>
    <w:rsid w:val="002F55EF"/>
    <w:rsid w:val="002F6DBA"/>
    <w:rsid w:val="002F77E9"/>
    <w:rsid w:val="002F7F94"/>
    <w:rsid w:val="003030ED"/>
    <w:rsid w:val="003115A4"/>
    <w:rsid w:val="00313C90"/>
    <w:rsid w:val="00314686"/>
    <w:rsid w:val="0031489E"/>
    <w:rsid w:val="00316A45"/>
    <w:rsid w:val="003178C1"/>
    <w:rsid w:val="003223BB"/>
    <w:rsid w:val="003243EF"/>
    <w:rsid w:val="003250D7"/>
    <w:rsid w:val="0032512C"/>
    <w:rsid w:val="0032640F"/>
    <w:rsid w:val="0032773A"/>
    <w:rsid w:val="00333770"/>
    <w:rsid w:val="0033391D"/>
    <w:rsid w:val="00334CE3"/>
    <w:rsid w:val="00336959"/>
    <w:rsid w:val="00340B4D"/>
    <w:rsid w:val="00340D2F"/>
    <w:rsid w:val="003413BE"/>
    <w:rsid w:val="003413D8"/>
    <w:rsid w:val="00342A9F"/>
    <w:rsid w:val="00345189"/>
    <w:rsid w:val="003459A4"/>
    <w:rsid w:val="00346309"/>
    <w:rsid w:val="00347A15"/>
    <w:rsid w:val="00351733"/>
    <w:rsid w:val="00354528"/>
    <w:rsid w:val="00355126"/>
    <w:rsid w:val="00355141"/>
    <w:rsid w:val="0035550A"/>
    <w:rsid w:val="0035582B"/>
    <w:rsid w:val="00355C36"/>
    <w:rsid w:val="00361059"/>
    <w:rsid w:val="003611E8"/>
    <w:rsid w:val="00362315"/>
    <w:rsid w:val="0036461B"/>
    <w:rsid w:val="00373771"/>
    <w:rsid w:val="00374062"/>
    <w:rsid w:val="00374C4A"/>
    <w:rsid w:val="00375A4D"/>
    <w:rsid w:val="00375C36"/>
    <w:rsid w:val="00377D20"/>
    <w:rsid w:val="00382FE2"/>
    <w:rsid w:val="0038303C"/>
    <w:rsid w:val="00384A07"/>
    <w:rsid w:val="0038754B"/>
    <w:rsid w:val="003875F9"/>
    <w:rsid w:val="00390B71"/>
    <w:rsid w:val="003975E1"/>
    <w:rsid w:val="00397C94"/>
    <w:rsid w:val="00397D23"/>
    <w:rsid w:val="003A09EF"/>
    <w:rsid w:val="003A2CC7"/>
    <w:rsid w:val="003A50DA"/>
    <w:rsid w:val="003A75ED"/>
    <w:rsid w:val="003A7A7E"/>
    <w:rsid w:val="003B0B5A"/>
    <w:rsid w:val="003B16DA"/>
    <w:rsid w:val="003B3562"/>
    <w:rsid w:val="003B472A"/>
    <w:rsid w:val="003B483E"/>
    <w:rsid w:val="003B4F40"/>
    <w:rsid w:val="003C4062"/>
    <w:rsid w:val="003C48C9"/>
    <w:rsid w:val="003C4E31"/>
    <w:rsid w:val="003C5EA7"/>
    <w:rsid w:val="003D0AB0"/>
    <w:rsid w:val="003D1D63"/>
    <w:rsid w:val="003D1F3E"/>
    <w:rsid w:val="003D2004"/>
    <w:rsid w:val="003D21ED"/>
    <w:rsid w:val="003D301F"/>
    <w:rsid w:val="003D48FD"/>
    <w:rsid w:val="003D5EB0"/>
    <w:rsid w:val="003D6251"/>
    <w:rsid w:val="003D77F5"/>
    <w:rsid w:val="003E1780"/>
    <w:rsid w:val="003E1D51"/>
    <w:rsid w:val="003E3887"/>
    <w:rsid w:val="003E4459"/>
    <w:rsid w:val="003E55B9"/>
    <w:rsid w:val="003E6509"/>
    <w:rsid w:val="003E67CB"/>
    <w:rsid w:val="003F05E5"/>
    <w:rsid w:val="003F0D54"/>
    <w:rsid w:val="003F1F13"/>
    <w:rsid w:val="003F2D56"/>
    <w:rsid w:val="003F3A33"/>
    <w:rsid w:val="003F3B92"/>
    <w:rsid w:val="003F578E"/>
    <w:rsid w:val="003F6BED"/>
    <w:rsid w:val="004019C3"/>
    <w:rsid w:val="0040688C"/>
    <w:rsid w:val="00413CBF"/>
    <w:rsid w:val="004141C0"/>
    <w:rsid w:val="004143D4"/>
    <w:rsid w:val="00414E7B"/>
    <w:rsid w:val="004161AF"/>
    <w:rsid w:val="00416743"/>
    <w:rsid w:val="00416DC1"/>
    <w:rsid w:val="004175BE"/>
    <w:rsid w:val="00417897"/>
    <w:rsid w:val="00417E76"/>
    <w:rsid w:val="0042166D"/>
    <w:rsid w:val="0042260F"/>
    <w:rsid w:val="00423EB5"/>
    <w:rsid w:val="00425FF0"/>
    <w:rsid w:val="00426D64"/>
    <w:rsid w:val="00430FD7"/>
    <w:rsid w:val="00431545"/>
    <w:rsid w:val="00431CB4"/>
    <w:rsid w:val="00431EF6"/>
    <w:rsid w:val="0043426F"/>
    <w:rsid w:val="00434B0A"/>
    <w:rsid w:val="00434CED"/>
    <w:rsid w:val="004363A7"/>
    <w:rsid w:val="00436686"/>
    <w:rsid w:val="00437034"/>
    <w:rsid w:val="00437FCE"/>
    <w:rsid w:val="00441870"/>
    <w:rsid w:val="0044368C"/>
    <w:rsid w:val="0044396D"/>
    <w:rsid w:val="00443DD5"/>
    <w:rsid w:val="004443E6"/>
    <w:rsid w:val="004455D9"/>
    <w:rsid w:val="004456DD"/>
    <w:rsid w:val="00445B63"/>
    <w:rsid w:val="00453D10"/>
    <w:rsid w:val="004577FE"/>
    <w:rsid w:val="00460187"/>
    <w:rsid w:val="004604D3"/>
    <w:rsid w:val="00460D97"/>
    <w:rsid w:val="00470892"/>
    <w:rsid w:val="00472684"/>
    <w:rsid w:val="00475387"/>
    <w:rsid w:val="0047735F"/>
    <w:rsid w:val="00477401"/>
    <w:rsid w:val="00477CC7"/>
    <w:rsid w:val="00477E9D"/>
    <w:rsid w:val="004805E6"/>
    <w:rsid w:val="00481F8F"/>
    <w:rsid w:val="0048205A"/>
    <w:rsid w:val="00484473"/>
    <w:rsid w:val="00484724"/>
    <w:rsid w:val="00485947"/>
    <w:rsid w:val="0048643A"/>
    <w:rsid w:val="0048663C"/>
    <w:rsid w:val="00486745"/>
    <w:rsid w:val="00487959"/>
    <w:rsid w:val="004927C9"/>
    <w:rsid w:val="00492AA4"/>
    <w:rsid w:val="0049453B"/>
    <w:rsid w:val="00494E7C"/>
    <w:rsid w:val="004961BA"/>
    <w:rsid w:val="004976A1"/>
    <w:rsid w:val="00497A5F"/>
    <w:rsid w:val="004A0647"/>
    <w:rsid w:val="004A0AD6"/>
    <w:rsid w:val="004A3C94"/>
    <w:rsid w:val="004A404B"/>
    <w:rsid w:val="004A4096"/>
    <w:rsid w:val="004A479F"/>
    <w:rsid w:val="004A48AE"/>
    <w:rsid w:val="004A6998"/>
    <w:rsid w:val="004B02E6"/>
    <w:rsid w:val="004B19DC"/>
    <w:rsid w:val="004B1E37"/>
    <w:rsid w:val="004B4182"/>
    <w:rsid w:val="004B49C1"/>
    <w:rsid w:val="004B5DDE"/>
    <w:rsid w:val="004B6514"/>
    <w:rsid w:val="004B67FB"/>
    <w:rsid w:val="004B6A0A"/>
    <w:rsid w:val="004B6E72"/>
    <w:rsid w:val="004C051A"/>
    <w:rsid w:val="004C0951"/>
    <w:rsid w:val="004C14A0"/>
    <w:rsid w:val="004C2290"/>
    <w:rsid w:val="004C3792"/>
    <w:rsid w:val="004C3F1D"/>
    <w:rsid w:val="004C4063"/>
    <w:rsid w:val="004C6465"/>
    <w:rsid w:val="004D1450"/>
    <w:rsid w:val="004D2223"/>
    <w:rsid w:val="004D2630"/>
    <w:rsid w:val="004D2DAF"/>
    <w:rsid w:val="004D430F"/>
    <w:rsid w:val="004D4802"/>
    <w:rsid w:val="004E1E41"/>
    <w:rsid w:val="004E682B"/>
    <w:rsid w:val="004E7227"/>
    <w:rsid w:val="004F0F4C"/>
    <w:rsid w:val="004F1375"/>
    <w:rsid w:val="004F1706"/>
    <w:rsid w:val="004F174A"/>
    <w:rsid w:val="004F4F1D"/>
    <w:rsid w:val="004F53E1"/>
    <w:rsid w:val="004F62BA"/>
    <w:rsid w:val="004F7176"/>
    <w:rsid w:val="005003B8"/>
    <w:rsid w:val="00501947"/>
    <w:rsid w:val="0050380C"/>
    <w:rsid w:val="00503D0F"/>
    <w:rsid w:val="005051F4"/>
    <w:rsid w:val="0050541C"/>
    <w:rsid w:val="0050604C"/>
    <w:rsid w:val="005061E7"/>
    <w:rsid w:val="00507C0B"/>
    <w:rsid w:val="005147D6"/>
    <w:rsid w:val="00514E71"/>
    <w:rsid w:val="0051787A"/>
    <w:rsid w:val="00517C72"/>
    <w:rsid w:val="00520315"/>
    <w:rsid w:val="0052276C"/>
    <w:rsid w:val="00527BCA"/>
    <w:rsid w:val="00531890"/>
    <w:rsid w:val="005322B4"/>
    <w:rsid w:val="0053353D"/>
    <w:rsid w:val="00534E40"/>
    <w:rsid w:val="00540712"/>
    <w:rsid w:val="00541470"/>
    <w:rsid w:val="00541B94"/>
    <w:rsid w:val="00542066"/>
    <w:rsid w:val="0054210D"/>
    <w:rsid w:val="00543D81"/>
    <w:rsid w:val="005442F7"/>
    <w:rsid w:val="0054508B"/>
    <w:rsid w:val="00547E0F"/>
    <w:rsid w:val="00556C07"/>
    <w:rsid w:val="005570FA"/>
    <w:rsid w:val="00557F1C"/>
    <w:rsid w:val="0056309A"/>
    <w:rsid w:val="00564364"/>
    <w:rsid w:val="00570341"/>
    <w:rsid w:val="00570758"/>
    <w:rsid w:val="00571E22"/>
    <w:rsid w:val="00572DF9"/>
    <w:rsid w:val="00573529"/>
    <w:rsid w:val="00573AE5"/>
    <w:rsid w:val="00573D7B"/>
    <w:rsid w:val="0057580C"/>
    <w:rsid w:val="00577CB2"/>
    <w:rsid w:val="00581124"/>
    <w:rsid w:val="00581F04"/>
    <w:rsid w:val="00582D3A"/>
    <w:rsid w:val="00583032"/>
    <w:rsid w:val="0058392E"/>
    <w:rsid w:val="005851B2"/>
    <w:rsid w:val="00585498"/>
    <w:rsid w:val="00585B8F"/>
    <w:rsid w:val="00587212"/>
    <w:rsid w:val="00587776"/>
    <w:rsid w:val="00587BEF"/>
    <w:rsid w:val="00587E73"/>
    <w:rsid w:val="00590FD8"/>
    <w:rsid w:val="005916B3"/>
    <w:rsid w:val="0059265F"/>
    <w:rsid w:val="00594495"/>
    <w:rsid w:val="005955E1"/>
    <w:rsid w:val="005960D1"/>
    <w:rsid w:val="00597035"/>
    <w:rsid w:val="00597A24"/>
    <w:rsid w:val="005A0509"/>
    <w:rsid w:val="005A1C3B"/>
    <w:rsid w:val="005A4DA2"/>
    <w:rsid w:val="005A633E"/>
    <w:rsid w:val="005B093F"/>
    <w:rsid w:val="005B0E1A"/>
    <w:rsid w:val="005B4850"/>
    <w:rsid w:val="005B61A3"/>
    <w:rsid w:val="005B6E00"/>
    <w:rsid w:val="005C06A6"/>
    <w:rsid w:val="005C277E"/>
    <w:rsid w:val="005C2AA1"/>
    <w:rsid w:val="005C61F8"/>
    <w:rsid w:val="005D2591"/>
    <w:rsid w:val="005D35BB"/>
    <w:rsid w:val="005D3E39"/>
    <w:rsid w:val="005D6723"/>
    <w:rsid w:val="005E1902"/>
    <w:rsid w:val="005E3AB2"/>
    <w:rsid w:val="005E3EAC"/>
    <w:rsid w:val="005E3F55"/>
    <w:rsid w:val="005E4542"/>
    <w:rsid w:val="005E4764"/>
    <w:rsid w:val="005E608A"/>
    <w:rsid w:val="005E71A3"/>
    <w:rsid w:val="005E77F9"/>
    <w:rsid w:val="005E7834"/>
    <w:rsid w:val="005F0C23"/>
    <w:rsid w:val="005F16CF"/>
    <w:rsid w:val="005F1B42"/>
    <w:rsid w:val="005F4BF3"/>
    <w:rsid w:val="005F4CB9"/>
    <w:rsid w:val="005F5167"/>
    <w:rsid w:val="005F5546"/>
    <w:rsid w:val="005F5C48"/>
    <w:rsid w:val="005F7966"/>
    <w:rsid w:val="005F7D53"/>
    <w:rsid w:val="00600DE9"/>
    <w:rsid w:val="00601013"/>
    <w:rsid w:val="00602014"/>
    <w:rsid w:val="00604FDE"/>
    <w:rsid w:val="006064A7"/>
    <w:rsid w:val="006104B3"/>
    <w:rsid w:val="006122FE"/>
    <w:rsid w:val="00612D54"/>
    <w:rsid w:val="006141D5"/>
    <w:rsid w:val="00620AB0"/>
    <w:rsid w:val="00620D62"/>
    <w:rsid w:val="00620FDC"/>
    <w:rsid w:val="00622C83"/>
    <w:rsid w:val="0062341E"/>
    <w:rsid w:val="006251DD"/>
    <w:rsid w:val="00626682"/>
    <w:rsid w:val="0062740E"/>
    <w:rsid w:val="00627F18"/>
    <w:rsid w:val="006305E4"/>
    <w:rsid w:val="00631501"/>
    <w:rsid w:val="00634218"/>
    <w:rsid w:val="0063554F"/>
    <w:rsid w:val="00636D34"/>
    <w:rsid w:val="00644013"/>
    <w:rsid w:val="00644B5F"/>
    <w:rsid w:val="006456DF"/>
    <w:rsid w:val="0064675E"/>
    <w:rsid w:val="00646FBB"/>
    <w:rsid w:val="006475C4"/>
    <w:rsid w:val="00647F34"/>
    <w:rsid w:val="00647F52"/>
    <w:rsid w:val="00647FA8"/>
    <w:rsid w:val="00650630"/>
    <w:rsid w:val="00651158"/>
    <w:rsid w:val="00651B6F"/>
    <w:rsid w:val="00651D86"/>
    <w:rsid w:val="00651DFE"/>
    <w:rsid w:val="00652732"/>
    <w:rsid w:val="00652973"/>
    <w:rsid w:val="0065360D"/>
    <w:rsid w:val="006538F2"/>
    <w:rsid w:val="0065438F"/>
    <w:rsid w:val="00655104"/>
    <w:rsid w:val="006557AE"/>
    <w:rsid w:val="00656679"/>
    <w:rsid w:val="006618FA"/>
    <w:rsid w:val="00662064"/>
    <w:rsid w:val="0066239C"/>
    <w:rsid w:val="00662934"/>
    <w:rsid w:val="00663380"/>
    <w:rsid w:val="006659E7"/>
    <w:rsid w:val="0066686E"/>
    <w:rsid w:val="00666FDB"/>
    <w:rsid w:val="006717C5"/>
    <w:rsid w:val="00672FE6"/>
    <w:rsid w:val="00673CEF"/>
    <w:rsid w:val="006769AF"/>
    <w:rsid w:val="00676B9B"/>
    <w:rsid w:val="0067712D"/>
    <w:rsid w:val="00680DCF"/>
    <w:rsid w:val="00680F05"/>
    <w:rsid w:val="006819E8"/>
    <w:rsid w:val="00681B5A"/>
    <w:rsid w:val="006822EE"/>
    <w:rsid w:val="006829E7"/>
    <w:rsid w:val="00682A97"/>
    <w:rsid w:val="00683038"/>
    <w:rsid w:val="006841F2"/>
    <w:rsid w:val="0068497A"/>
    <w:rsid w:val="00684FCC"/>
    <w:rsid w:val="00685194"/>
    <w:rsid w:val="00685722"/>
    <w:rsid w:val="00686D19"/>
    <w:rsid w:val="00690D90"/>
    <w:rsid w:val="00690EEE"/>
    <w:rsid w:val="0069155E"/>
    <w:rsid w:val="006941D5"/>
    <w:rsid w:val="00696A48"/>
    <w:rsid w:val="006A04E5"/>
    <w:rsid w:val="006A0DE0"/>
    <w:rsid w:val="006A172A"/>
    <w:rsid w:val="006A1CE4"/>
    <w:rsid w:val="006A1D31"/>
    <w:rsid w:val="006A2086"/>
    <w:rsid w:val="006A419A"/>
    <w:rsid w:val="006A41E6"/>
    <w:rsid w:val="006A4846"/>
    <w:rsid w:val="006A6251"/>
    <w:rsid w:val="006A64F8"/>
    <w:rsid w:val="006A75BD"/>
    <w:rsid w:val="006B104D"/>
    <w:rsid w:val="006B2811"/>
    <w:rsid w:val="006B7239"/>
    <w:rsid w:val="006B7248"/>
    <w:rsid w:val="006C0DB4"/>
    <w:rsid w:val="006C1AFB"/>
    <w:rsid w:val="006C360A"/>
    <w:rsid w:val="006C5454"/>
    <w:rsid w:val="006C5DA9"/>
    <w:rsid w:val="006C7671"/>
    <w:rsid w:val="006D0B57"/>
    <w:rsid w:val="006D1D3B"/>
    <w:rsid w:val="006D1EDE"/>
    <w:rsid w:val="006D3681"/>
    <w:rsid w:val="006D4FAB"/>
    <w:rsid w:val="006D5774"/>
    <w:rsid w:val="006D7330"/>
    <w:rsid w:val="006D7F9F"/>
    <w:rsid w:val="006E04C5"/>
    <w:rsid w:val="006E0EF2"/>
    <w:rsid w:val="006E3434"/>
    <w:rsid w:val="006E36A2"/>
    <w:rsid w:val="006E3845"/>
    <w:rsid w:val="006E5B39"/>
    <w:rsid w:val="006E621E"/>
    <w:rsid w:val="006E7BD1"/>
    <w:rsid w:val="006F09CE"/>
    <w:rsid w:val="006F108D"/>
    <w:rsid w:val="006F2067"/>
    <w:rsid w:val="006F207D"/>
    <w:rsid w:val="006F3847"/>
    <w:rsid w:val="006F4318"/>
    <w:rsid w:val="006F507B"/>
    <w:rsid w:val="006F5601"/>
    <w:rsid w:val="006F6551"/>
    <w:rsid w:val="006F7B7D"/>
    <w:rsid w:val="00701DA1"/>
    <w:rsid w:val="00702448"/>
    <w:rsid w:val="007037A4"/>
    <w:rsid w:val="00703D3C"/>
    <w:rsid w:val="00703D7E"/>
    <w:rsid w:val="00707B5C"/>
    <w:rsid w:val="00711EA5"/>
    <w:rsid w:val="00713F63"/>
    <w:rsid w:val="00714DE4"/>
    <w:rsid w:val="00720F89"/>
    <w:rsid w:val="00724A02"/>
    <w:rsid w:val="00724CA8"/>
    <w:rsid w:val="00727891"/>
    <w:rsid w:val="00731A0F"/>
    <w:rsid w:val="00731EC8"/>
    <w:rsid w:val="007344A6"/>
    <w:rsid w:val="00735AF7"/>
    <w:rsid w:val="00736C4C"/>
    <w:rsid w:val="0073715F"/>
    <w:rsid w:val="00737335"/>
    <w:rsid w:val="00737BA3"/>
    <w:rsid w:val="00742DC5"/>
    <w:rsid w:val="007464E0"/>
    <w:rsid w:val="00746695"/>
    <w:rsid w:val="0074674D"/>
    <w:rsid w:val="00746979"/>
    <w:rsid w:val="00747A10"/>
    <w:rsid w:val="0075027F"/>
    <w:rsid w:val="00750B23"/>
    <w:rsid w:val="00753952"/>
    <w:rsid w:val="00755D3A"/>
    <w:rsid w:val="00755EDF"/>
    <w:rsid w:val="007561A1"/>
    <w:rsid w:val="00757BC2"/>
    <w:rsid w:val="00761943"/>
    <w:rsid w:val="00761B27"/>
    <w:rsid w:val="00761B60"/>
    <w:rsid w:val="007672A4"/>
    <w:rsid w:val="00770B49"/>
    <w:rsid w:val="00770BF6"/>
    <w:rsid w:val="00770D6E"/>
    <w:rsid w:val="00772A85"/>
    <w:rsid w:val="00773E34"/>
    <w:rsid w:val="0077493D"/>
    <w:rsid w:val="00774C59"/>
    <w:rsid w:val="0077768C"/>
    <w:rsid w:val="00782A6E"/>
    <w:rsid w:val="00783F44"/>
    <w:rsid w:val="0078451A"/>
    <w:rsid w:val="00784F4E"/>
    <w:rsid w:val="00784F82"/>
    <w:rsid w:val="00787494"/>
    <w:rsid w:val="00790202"/>
    <w:rsid w:val="00792975"/>
    <w:rsid w:val="00794A7F"/>
    <w:rsid w:val="00794B3E"/>
    <w:rsid w:val="00794FB4"/>
    <w:rsid w:val="00795846"/>
    <w:rsid w:val="00795F8F"/>
    <w:rsid w:val="007969A0"/>
    <w:rsid w:val="007A0AC7"/>
    <w:rsid w:val="007A2079"/>
    <w:rsid w:val="007A2DB5"/>
    <w:rsid w:val="007A37B7"/>
    <w:rsid w:val="007A3C0A"/>
    <w:rsid w:val="007A3D94"/>
    <w:rsid w:val="007B0B48"/>
    <w:rsid w:val="007B2AAE"/>
    <w:rsid w:val="007B6C4A"/>
    <w:rsid w:val="007B71ED"/>
    <w:rsid w:val="007C2A9A"/>
    <w:rsid w:val="007C3281"/>
    <w:rsid w:val="007C50A7"/>
    <w:rsid w:val="007C6571"/>
    <w:rsid w:val="007C75D3"/>
    <w:rsid w:val="007C79D0"/>
    <w:rsid w:val="007C7D81"/>
    <w:rsid w:val="007D0F1F"/>
    <w:rsid w:val="007D293D"/>
    <w:rsid w:val="007D2AF6"/>
    <w:rsid w:val="007D3644"/>
    <w:rsid w:val="007D4733"/>
    <w:rsid w:val="007D473E"/>
    <w:rsid w:val="007D5797"/>
    <w:rsid w:val="007D69B6"/>
    <w:rsid w:val="007D72D8"/>
    <w:rsid w:val="007E19AE"/>
    <w:rsid w:val="007E2B12"/>
    <w:rsid w:val="007E2D8C"/>
    <w:rsid w:val="007E4F7C"/>
    <w:rsid w:val="007E56E3"/>
    <w:rsid w:val="007E64C6"/>
    <w:rsid w:val="007E659A"/>
    <w:rsid w:val="007E7AAC"/>
    <w:rsid w:val="007F2EDA"/>
    <w:rsid w:val="007F6ECF"/>
    <w:rsid w:val="007F7303"/>
    <w:rsid w:val="00800A2B"/>
    <w:rsid w:val="00802CE5"/>
    <w:rsid w:val="00802EB7"/>
    <w:rsid w:val="00804861"/>
    <w:rsid w:val="008056C1"/>
    <w:rsid w:val="008056ED"/>
    <w:rsid w:val="0080573D"/>
    <w:rsid w:val="00806AF5"/>
    <w:rsid w:val="00806C1C"/>
    <w:rsid w:val="00807C05"/>
    <w:rsid w:val="008118A5"/>
    <w:rsid w:val="00814873"/>
    <w:rsid w:val="0081510D"/>
    <w:rsid w:val="008155E8"/>
    <w:rsid w:val="008159A6"/>
    <w:rsid w:val="00816240"/>
    <w:rsid w:val="0082044F"/>
    <w:rsid w:val="00820A3C"/>
    <w:rsid w:val="008233A4"/>
    <w:rsid w:val="008256DA"/>
    <w:rsid w:val="008260FB"/>
    <w:rsid w:val="00826118"/>
    <w:rsid w:val="00826757"/>
    <w:rsid w:val="00826A9C"/>
    <w:rsid w:val="0082728C"/>
    <w:rsid w:val="008306D7"/>
    <w:rsid w:val="00830A2B"/>
    <w:rsid w:val="00831086"/>
    <w:rsid w:val="00831DDE"/>
    <w:rsid w:val="0083362A"/>
    <w:rsid w:val="00833805"/>
    <w:rsid w:val="00834430"/>
    <w:rsid w:val="00835878"/>
    <w:rsid w:val="00841D37"/>
    <w:rsid w:val="00842044"/>
    <w:rsid w:val="00842214"/>
    <w:rsid w:val="008426C0"/>
    <w:rsid w:val="00844B9B"/>
    <w:rsid w:val="008450A1"/>
    <w:rsid w:val="00845C74"/>
    <w:rsid w:val="00846E09"/>
    <w:rsid w:val="0084701E"/>
    <w:rsid w:val="00850643"/>
    <w:rsid w:val="00850767"/>
    <w:rsid w:val="00852661"/>
    <w:rsid w:val="00854686"/>
    <w:rsid w:val="008547C2"/>
    <w:rsid w:val="008550C1"/>
    <w:rsid w:val="00856572"/>
    <w:rsid w:val="0085693F"/>
    <w:rsid w:val="00857752"/>
    <w:rsid w:val="00861CE5"/>
    <w:rsid w:val="008625BB"/>
    <w:rsid w:val="008625CD"/>
    <w:rsid w:val="00863AB0"/>
    <w:rsid w:val="00863D26"/>
    <w:rsid w:val="00870C0D"/>
    <w:rsid w:val="00871BC8"/>
    <w:rsid w:val="008726D9"/>
    <w:rsid w:val="00874DA5"/>
    <w:rsid w:val="0087730B"/>
    <w:rsid w:val="0088204F"/>
    <w:rsid w:val="008822CB"/>
    <w:rsid w:val="008877F4"/>
    <w:rsid w:val="008923B6"/>
    <w:rsid w:val="00892979"/>
    <w:rsid w:val="00892DC4"/>
    <w:rsid w:val="00894271"/>
    <w:rsid w:val="008942A9"/>
    <w:rsid w:val="008971AA"/>
    <w:rsid w:val="00897CD8"/>
    <w:rsid w:val="008A0016"/>
    <w:rsid w:val="008A2AD4"/>
    <w:rsid w:val="008A3466"/>
    <w:rsid w:val="008A5414"/>
    <w:rsid w:val="008A667F"/>
    <w:rsid w:val="008B0ACD"/>
    <w:rsid w:val="008B22E2"/>
    <w:rsid w:val="008B30C2"/>
    <w:rsid w:val="008B3A15"/>
    <w:rsid w:val="008B3DE9"/>
    <w:rsid w:val="008B44BF"/>
    <w:rsid w:val="008B4B8A"/>
    <w:rsid w:val="008B7BCC"/>
    <w:rsid w:val="008B7DE1"/>
    <w:rsid w:val="008C0964"/>
    <w:rsid w:val="008C0A74"/>
    <w:rsid w:val="008C0A94"/>
    <w:rsid w:val="008C0F69"/>
    <w:rsid w:val="008C16CC"/>
    <w:rsid w:val="008C2283"/>
    <w:rsid w:val="008C287F"/>
    <w:rsid w:val="008C4C38"/>
    <w:rsid w:val="008C7CA3"/>
    <w:rsid w:val="008D10CC"/>
    <w:rsid w:val="008D201E"/>
    <w:rsid w:val="008D3109"/>
    <w:rsid w:val="008D3C35"/>
    <w:rsid w:val="008D7290"/>
    <w:rsid w:val="008D736E"/>
    <w:rsid w:val="008D7BFF"/>
    <w:rsid w:val="008E006A"/>
    <w:rsid w:val="008E06F4"/>
    <w:rsid w:val="008E5D63"/>
    <w:rsid w:val="008F0998"/>
    <w:rsid w:val="008F20BA"/>
    <w:rsid w:val="008F27BA"/>
    <w:rsid w:val="008F4222"/>
    <w:rsid w:val="008F5BD5"/>
    <w:rsid w:val="008F5CF2"/>
    <w:rsid w:val="008F7BD3"/>
    <w:rsid w:val="008F7FCB"/>
    <w:rsid w:val="00900781"/>
    <w:rsid w:val="009017FD"/>
    <w:rsid w:val="00901868"/>
    <w:rsid w:val="009058B5"/>
    <w:rsid w:val="009104DE"/>
    <w:rsid w:val="00911901"/>
    <w:rsid w:val="00912130"/>
    <w:rsid w:val="00913116"/>
    <w:rsid w:val="00913F83"/>
    <w:rsid w:val="00916576"/>
    <w:rsid w:val="00920BA0"/>
    <w:rsid w:val="00921C8F"/>
    <w:rsid w:val="00923747"/>
    <w:rsid w:val="00927F80"/>
    <w:rsid w:val="00930DCB"/>
    <w:rsid w:val="00931856"/>
    <w:rsid w:val="00933317"/>
    <w:rsid w:val="009339DE"/>
    <w:rsid w:val="00933ECB"/>
    <w:rsid w:val="00935375"/>
    <w:rsid w:val="0093725A"/>
    <w:rsid w:val="009400F1"/>
    <w:rsid w:val="00940E33"/>
    <w:rsid w:val="0094417F"/>
    <w:rsid w:val="009452DC"/>
    <w:rsid w:val="009461ED"/>
    <w:rsid w:val="009538E6"/>
    <w:rsid w:val="00956FE9"/>
    <w:rsid w:val="0095708C"/>
    <w:rsid w:val="009572AC"/>
    <w:rsid w:val="009574A6"/>
    <w:rsid w:val="00963594"/>
    <w:rsid w:val="00964C24"/>
    <w:rsid w:val="009704E4"/>
    <w:rsid w:val="009705FC"/>
    <w:rsid w:val="009726A1"/>
    <w:rsid w:val="00972F4F"/>
    <w:rsid w:val="00973B7A"/>
    <w:rsid w:val="009751EC"/>
    <w:rsid w:val="00975475"/>
    <w:rsid w:val="009775C7"/>
    <w:rsid w:val="009777C4"/>
    <w:rsid w:val="0098033F"/>
    <w:rsid w:val="00982039"/>
    <w:rsid w:val="00982569"/>
    <w:rsid w:val="0098604F"/>
    <w:rsid w:val="00986EAF"/>
    <w:rsid w:val="009870E9"/>
    <w:rsid w:val="0099154B"/>
    <w:rsid w:val="009936A0"/>
    <w:rsid w:val="00995147"/>
    <w:rsid w:val="009A25E6"/>
    <w:rsid w:val="009A6BAC"/>
    <w:rsid w:val="009B34F9"/>
    <w:rsid w:val="009B4FEF"/>
    <w:rsid w:val="009B537F"/>
    <w:rsid w:val="009B5D51"/>
    <w:rsid w:val="009B6853"/>
    <w:rsid w:val="009B7EDD"/>
    <w:rsid w:val="009C09BA"/>
    <w:rsid w:val="009C2238"/>
    <w:rsid w:val="009C22BE"/>
    <w:rsid w:val="009C4D8A"/>
    <w:rsid w:val="009D3E45"/>
    <w:rsid w:val="009D5E06"/>
    <w:rsid w:val="009D79DE"/>
    <w:rsid w:val="009D79EE"/>
    <w:rsid w:val="009E1D5F"/>
    <w:rsid w:val="009E231A"/>
    <w:rsid w:val="009E2B41"/>
    <w:rsid w:val="009E2F64"/>
    <w:rsid w:val="009F04CE"/>
    <w:rsid w:val="009F0BF6"/>
    <w:rsid w:val="009F1369"/>
    <w:rsid w:val="009F36BA"/>
    <w:rsid w:val="009F3C5B"/>
    <w:rsid w:val="009F4199"/>
    <w:rsid w:val="009F51FB"/>
    <w:rsid w:val="009F66FE"/>
    <w:rsid w:val="00A01AD0"/>
    <w:rsid w:val="00A01B63"/>
    <w:rsid w:val="00A038EA"/>
    <w:rsid w:val="00A049C1"/>
    <w:rsid w:val="00A04BEE"/>
    <w:rsid w:val="00A05000"/>
    <w:rsid w:val="00A05350"/>
    <w:rsid w:val="00A055E7"/>
    <w:rsid w:val="00A06929"/>
    <w:rsid w:val="00A071AE"/>
    <w:rsid w:val="00A078AD"/>
    <w:rsid w:val="00A10A6B"/>
    <w:rsid w:val="00A10E2B"/>
    <w:rsid w:val="00A11238"/>
    <w:rsid w:val="00A13575"/>
    <w:rsid w:val="00A207DE"/>
    <w:rsid w:val="00A210B0"/>
    <w:rsid w:val="00A21752"/>
    <w:rsid w:val="00A23B7C"/>
    <w:rsid w:val="00A24697"/>
    <w:rsid w:val="00A24C65"/>
    <w:rsid w:val="00A30084"/>
    <w:rsid w:val="00A3194C"/>
    <w:rsid w:val="00A31C1E"/>
    <w:rsid w:val="00A32350"/>
    <w:rsid w:val="00A3381A"/>
    <w:rsid w:val="00A33C5A"/>
    <w:rsid w:val="00A351A8"/>
    <w:rsid w:val="00A3711A"/>
    <w:rsid w:val="00A40820"/>
    <w:rsid w:val="00A409A1"/>
    <w:rsid w:val="00A40F11"/>
    <w:rsid w:val="00A425FD"/>
    <w:rsid w:val="00A44AE7"/>
    <w:rsid w:val="00A4623A"/>
    <w:rsid w:val="00A50895"/>
    <w:rsid w:val="00A5192B"/>
    <w:rsid w:val="00A5424E"/>
    <w:rsid w:val="00A557DD"/>
    <w:rsid w:val="00A567A3"/>
    <w:rsid w:val="00A56A4A"/>
    <w:rsid w:val="00A56F71"/>
    <w:rsid w:val="00A572B2"/>
    <w:rsid w:val="00A57E71"/>
    <w:rsid w:val="00A65767"/>
    <w:rsid w:val="00A661D1"/>
    <w:rsid w:val="00A70554"/>
    <w:rsid w:val="00A7136E"/>
    <w:rsid w:val="00A721FC"/>
    <w:rsid w:val="00A72BB3"/>
    <w:rsid w:val="00A73318"/>
    <w:rsid w:val="00A73881"/>
    <w:rsid w:val="00A75E34"/>
    <w:rsid w:val="00A76CB7"/>
    <w:rsid w:val="00A82B27"/>
    <w:rsid w:val="00A82DF7"/>
    <w:rsid w:val="00A92E61"/>
    <w:rsid w:val="00A93867"/>
    <w:rsid w:val="00A957A1"/>
    <w:rsid w:val="00A96A8E"/>
    <w:rsid w:val="00AA2834"/>
    <w:rsid w:val="00AA44D4"/>
    <w:rsid w:val="00AA5D06"/>
    <w:rsid w:val="00AB03E7"/>
    <w:rsid w:val="00AB1665"/>
    <w:rsid w:val="00AB308A"/>
    <w:rsid w:val="00AB53AA"/>
    <w:rsid w:val="00AB554D"/>
    <w:rsid w:val="00AB649F"/>
    <w:rsid w:val="00AB7C9D"/>
    <w:rsid w:val="00AC22CE"/>
    <w:rsid w:val="00AC2405"/>
    <w:rsid w:val="00AC2A8F"/>
    <w:rsid w:val="00AC445B"/>
    <w:rsid w:val="00AC52AC"/>
    <w:rsid w:val="00AC6303"/>
    <w:rsid w:val="00AC67C9"/>
    <w:rsid w:val="00AC688A"/>
    <w:rsid w:val="00AC72D3"/>
    <w:rsid w:val="00AD13B2"/>
    <w:rsid w:val="00AD19B7"/>
    <w:rsid w:val="00AD35B4"/>
    <w:rsid w:val="00AD4472"/>
    <w:rsid w:val="00AD58F9"/>
    <w:rsid w:val="00AD69AB"/>
    <w:rsid w:val="00AE0DED"/>
    <w:rsid w:val="00AE2D44"/>
    <w:rsid w:val="00AE3DB6"/>
    <w:rsid w:val="00AE623E"/>
    <w:rsid w:val="00AF1005"/>
    <w:rsid w:val="00AF2E9E"/>
    <w:rsid w:val="00AF4249"/>
    <w:rsid w:val="00AF51CA"/>
    <w:rsid w:val="00AF58B4"/>
    <w:rsid w:val="00B00BA5"/>
    <w:rsid w:val="00B033C1"/>
    <w:rsid w:val="00B03970"/>
    <w:rsid w:val="00B04375"/>
    <w:rsid w:val="00B0495B"/>
    <w:rsid w:val="00B05F01"/>
    <w:rsid w:val="00B05F5C"/>
    <w:rsid w:val="00B11AFF"/>
    <w:rsid w:val="00B1363A"/>
    <w:rsid w:val="00B16165"/>
    <w:rsid w:val="00B16271"/>
    <w:rsid w:val="00B164F0"/>
    <w:rsid w:val="00B16AF6"/>
    <w:rsid w:val="00B16BB4"/>
    <w:rsid w:val="00B16DBE"/>
    <w:rsid w:val="00B20B5F"/>
    <w:rsid w:val="00B21A6F"/>
    <w:rsid w:val="00B2203C"/>
    <w:rsid w:val="00B230E0"/>
    <w:rsid w:val="00B23FDB"/>
    <w:rsid w:val="00B2420D"/>
    <w:rsid w:val="00B253D0"/>
    <w:rsid w:val="00B26649"/>
    <w:rsid w:val="00B30ACB"/>
    <w:rsid w:val="00B30EA2"/>
    <w:rsid w:val="00B30EE9"/>
    <w:rsid w:val="00B30FEB"/>
    <w:rsid w:val="00B3601B"/>
    <w:rsid w:val="00B366FD"/>
    <w:rsid w:val="00B368D5"/>
    <w:rsid w:val="00B370B1"/>
    <w:rsid w:val="00B37D3F"/>
    <w:rsid w:val="00B37F0A"/>
    <w:rsid w:val="00B40A5E"/>
    <w:rsid w:val="00B41272"/>
    <w:rsid w:val="00B426FE"/>
    <w:rsid w:val="00B4656B"/>
    <w:rsid w:val="00B475A4"/>
    <w:rsid w:val="00B47F7E"/>
    <w:rsid w:val="00B50650"/>
    <w:rsid w:val="00B51A52"/>
    <w:rsid w:val="00B53275"/>
    <w:rsid w:val="00B53810"/>
    <w:rsid w:val="00B5457D"/>
    <w:rsid w:val="00B545D1"/>
    <w:rsid w:val="00B54EBB"/>
    <w:rsid w:val="00B57531"/>
    <w:rsid w:val="00B5779E"/>
    <w:rsid w:val="00B57D1B"/>
    <w:rsid w:val="00B61ACE"/>
    <w:rsid w:val="00B61B40"/>
    <w:rsid w:val="00B62A65"/>
    <w:rsid w:val="00B63053"/>
    <w:rsid w:val="00B65C8F"/>
    <w:rsid w:val="00B66B71"/>
    <w:rsid w:val="00B67520"/>
    <w:rsid w:val="00B72F0F"/>
    <w:rsid w:val="00B73349"/>
    <w:rsid w:val="00B73D66"/>
    <w:rsid w:val="00B77043"/>
    <w:rsid w:val="00B77924"/>
    <w:rsid w:val="00B81B98"/>
    <w:rsid w:val="00B8292A"/>
    <w:rsid w:val="00B8561E"/>
    <w:rsid w:val="00B858F3"/>
    <w:rsid w:val="00B86D06"/>
    <w:rsid w:val="00B87382"/>
    <w:rsid w:val="00B91627"/>
    <w:rsid w:val="00B91D2A"/>
    <w:rsid w:val="00B9233D"/>
    <w:rsid w:val="00B93717"/>
    <w:rsid w:val="00B938FC"/>
    <w:rsid w:val="00B94414"/>
    <w:rsid w:val="00B944A4"/>
    <w:rsid w:val="00BA0117"/>
    <w:rsid w:val="00BA4389"/>
    <w:rsid w:val="00BA51B1"/>
    <w:rsid w:val="00BA5510"/>
    <w:rsid w:val="00BA62B6"/>
    <w:rsid w:val="00BA64A7"/>
    <w:rsid w:val="00BA79BE"/>
    <w:rsid w:val="00BB0F36"/>
    <w:rsid w:val="00BB113D"/>
    <w:rsid w:val="00BB1945"/>
    <w:rsid w:val="00BB196A"/>
    <w:rsid w:val="00BB19CC"/>
    <w:rsid w:val="00BB57A2"/>
    <w:rsid w:val="00BB6504"/>
    <w:rsid w:val="00BC0AE7"/>
    <w:rsid w:val="00BC0E20"/>
    <w:rsid w:val="00BC152D"/>
    <w:rsid w:val="00BC33E0"/>
    <w:rsid w:val="00BC770A"/>
    <w:rsid w:val="00BC7C47"/>
    <w:rsid w:val="00BD0EB8"/>
    <w:rsid w:val="00BD1857"/>
    <w:rsid w:val="00BD22FE"/>
    <w:rsid w:val="00BD2BD2"/>
    <w:rsid w:val="00BE04A4"/>
    <w:rsid w:val="00BE2502"/>
    <w:rsid w:val="00BE4CC5"/>
    <w:rsid w:val="00BF06F7"/>
    <w:rsid w:val="00BF2D5A"/>
    <w:rsid w:val="00BF4727"/>
    <w:rsid w:val="00BF4A86"/>
    <w:rsid w:val="00BF4A9D"/>
    <w:rsid w:val="00BF4E7D"/>
    <w:rsid w:val="00BF57F2"/>
    <w:rsid w:val="00BF690E"/>
    <w:rsid w:val="00BF6B8E"/>
    <w:rsid w:val="00C0386B"/>
    <w:rsid w:val="00C039C3"/>
    <w:rsid w:val="00C03CD2"/>
    <w:rsid w:val="00C0499D"/>
    <w:rsid w:val="00C053D5"/>
    <w:rsid w:val="00C063C3"/>
    <w:rsid w:val="00C06FB8"/>
    <w:rsid w:val="00C07E06"/>
    <w:rsid w:val="00C07F15"/>
    <w:rsid w:val="00C108CB"/>
    <w:rsid w:val="00C12954"/>
    <w:rsid w:val="00C134C3"/>
    <w:rsid w:val="00C14211"/>
    <w:rsid w:val="00C15BD7"/>
    <w:rsid w:val="00C1610B"/>
    <w:rsid w:val="00C1663D"/>
    <w:rsid w:val="00C167A5"/>
    <w:rsid w:val="00C20904"/>
    <w:rsid w:val="00C21852"/>
    <w:rsid w:val="00C22D95"/>
    <w:rsid w:val="00C2600F"/>
    <w:rsid w:val="00C26A9B"/>
    <w:rsid w:val="00C27709"/>
    <w:rsid w:val="00C27DE1"/>
    <w:rsid w:val="00C3110D"/>
    <w:rsid w:val="00C31E33"/>
    <w:rsid w:val="00C31EB9"/>
    <w:rsid w:val="00C32B10"/>
    <w:rsid w:val="00C36BE3"/>
    <w:rsid w:val="00C37003"/>
    <w:rsid w:val="00C37100"/>
    <w:rsid w:val="00C3719B"/>
    <w:rsid w:val="00C400CD"/>
    <w:rsid w:val="00C4070A"/>
    <w:rsid w:val="00C4204D"/>
    <w:rsid w:val="00C421EA"/>
    <w:rsid w:val="00C43EB0"/>
    <w:rsid w:val="00C44D75"/>
    <w:rsid w:val="00C47C19"/>
    <w:rsid w:val="00C506CD"/>
    <w:rsid w:val="00C51795"/>
    <w:rsid w:val="00C53036"/>
    <w:rsid w:val="00C54125"/>
    <w:rsid w:val="00C5493D"/>
    <w:rsid w:val="00C54D2E"/>
    <w:rsid w:val="00C54E7F"/>
    <w:rsid w:val="00C569CF"/>
    <w:rsid w:val="00C62745"/>
    <w:rsid w:val="00C6302B"/>
    <w:rsid w:val="00C63294"/>
    <w:rsid w:val="00C64242"/>
    <w:rsid w:val="00C64271"/>
    <w:rsid w:val="00C65E83"/>
    <w:rsid w:val="00C66602"/>
    <w:rsid w:val="00C66F83"/>
    <w:rsid w:val="00C6720D"/>
    <w:rsid w:val="00C7109F"/>
    <w:rsid w:val="00C74770"/>
    <w:rsid w:val="00C77597"/>
    <w:rsid w:val="00C7790E"/>
    <w:rsid w:val="00C77DC6"/>
    <w:rsid w:val="00C801DA"/>
    <w:rsid w:val="00C804FF"/>
    <w:rsid w:val="00C820B4"/>
    <w:rsid w:val="00C83AE2"/>
    <w:rsid w:val="00C859B3"/>
    <w:rsid w:val="00C87190"/>
    <w:rsid w:val="00C87279"/>
    <w:rsid w:val="00C911BA"/>
    <w:rsid w:val="00C9122E"/>
    <w:rsid w:val="00C91A5F"/>
    <w:rsid w:val="00C926F0"/>
    <w:rsid w:val="00C9656D"/>
    <w:rsid w:val="00CA03B0"/>
    <w:rsid w:val="00CA4AFC"/>
    <w:rsid w:val="00CB158B"/>
    <w:rsid w:val="00CB2017"/>
    <w:rsid w:val="00CB230C"/>
    <w:rsid w:val="00CB4E86"/>
    <w:rsid w:val="00CB614D"/>
    <w:rsid w:val="00CB6C1C"/>
    <w:rsid w:val="00CC1469"/>
    <w:rsid w:val="00CC15E8"/>
    <w:rsid w:val="00CC20BA"/>
    <w:rsid w:val="00CC25DB"/>
    <w:rsid w:val="00CC25EC"/>
    <w:rsid w:val="00CC3C1D"/>
    <w:rsid w:val="00CC4D28"/>
    <w:rsid w:val="00CC5007"/>
    <w:rsid w:val="00CC65C8"/>
    <w:rsid w:val="00CC6DE1"/>
    <w:rsid w:val="00CD0EDC"/>
    <w:rsid w:val="00CD3D51"/>
    <w:rsid w:val="00CD5F32"/>
    <w:rsid w:val="00CE0060"/>
    <w:rsid w:val="00CE24BF"/>
    <w:rsid w:val="00CE3AB6"/>
    <w:rsid w:val="00CE40F1"/>
    <w:rsid w:val="00CE5E55"/>
    <w:rsid w:val="00CE62C7"/>
    <w:rsid w:val="00CE6D05"/>
    <w:rsid w:val="00CF030E"/>
    <w:rsid w:val="00CF3403"/>
    <w:rsid w:val="00CF3CED"/>
    <w:rsid w:val="00CF3D9C"/>
    <w:rsid w:val="00CF4F96"/>
    <w:rsid w:val="00CF7331"/>
    <w:rsid w:val="00D0329A"/>
    <w:rsid w:val="00D03F32"/>
    <w:rsid w:val="00D0416C"/>
    <w:rsid w:val="00D0559D"/>
    <w:rsid w:val="00D0768C"/>
    <w:rsid w:val="00D100F5"/>
    <w:rsid w:val="00D106D9"/>
    <w:rsid w:val="00D12DD9"/>
    <w:rsid w:val="00D13E62"/>
    <w:rsid w:val="00D14A9C"/>
    <w:rsid w:val="00D15FDC"/>
    <w:rsid w:val="00D167F7"/>
    <w:rsid w:val="00D17B65"/>
    <w:rsid w:val="00D22396"/>
    <w:rsid w:val="00D244D0"/>
    <w:rsid w:val="00D2494B"/>
    <w:rsid w:val="00D25A69"/>
    <w:rsid w:val="00D2623B"/>
    <w:rsid w:val="00D27BB9"/>
    <w:rsid w:val="00D305FF"/>
    <w:rsid w:val="00D32791"/>
    <w:rsid w:val="00D327C3"/>
    <w:rsid w:val="00D339EF"/>
    <w:rsid w:val="00D35E39"/>
    <w:rsid w:val="00D36AE1"/>
    <w:rsid w:val="00D36FFA"/>
    <w:rsid w:val="00D4055E"/>
    <w:rsid w:val="00D4094A"/>
    <w:rsid w:val="00D41E62"/>
    <w:rsid w:val="00D43B5F"/>
    <w:rsid w:val="00D44917"/>
    <w:rsid w:val="00D4571D"/>
    <w:rsid w:val="00D50952"/>
    <w:rsid w:val="00D54051"/>
    <w:rsid w:val="00D545F0"/>
    <w:rsid w:val="00D55F1E"/>
    <w:rsid w:val="00D56820"/>
    <w:rsid w:val="00D56ECA"/>
    <w:rsid w:val="00D60BCA"/>
    <w:rsid w:val="00D60EFF"/>
    <w:rsid w:val="00D61630"/>
    <w:rsid w:val="00D62EF9"/>
    <w:rsid w:val="00D63D2D"/>
    <w:rsid w:val="00D65725"/>
    <w:rsid w:val="00D665CB"/>
    <w:rsid w:val="00D669E3"/>
    <w:rsid w:val="00D66AD8"/>
    <w:rsid w:val="00D670D8"/>
    <w:rsid w:val="00D67FF0"/>
    <w:rsid w:val="00D70521"/>
    <w:rsid w:val="00D72069"/>
    <w:rsid w:val="00D768EB"/>
    <w:rsid w:val="00D806B0"/>
    <w:rsid w:val="00D80E64"/>
    <w:rsid w:val="00D80F12"/>
    <w:rsid w:val="00D81232"/>
    <w:rsid w:val="00D81A1A"/>
    <w:rsid w:val="00D824C3"/>
    <w:rsid w:val="00D83147"/>
    <w:rsid w:val="00D8393F"/>
    <w:rsid w:val="00D85800"/>
    <w:rsid w:val="00D869EF"/>
    <w:rsid w:val="00D86C04"/>
    <w:rsid w:val="00D86CE2"/>
    <w:rsid w:val="00D86E07"/>
    <w:rsid w:val="00D9014F"/>
    <w:rsid w:val="00D90824"/>
    <w:rsid w:val="00D93291"/>
    <w:rsid w:val="00D93554"/>
    <w:rsid w:val="00D93705"/>
    <w:rsid w:val="00D93AB1"/>
    <w:rsid w:val="00D94765"/>
    <w:rsid w:val="00DA0124"/>
    <w:rsid w:val="00DA1954"/>
    <w:rsid w:val="00DA23A3"/>
    <w:rsid w:val="00DA2F5C"/>
    <w:rsid w:val="00DA3EAC"/>
    <w:rsid w:val="00DA4DE6"/>
    <w:rsid w:val="00DA5B7F"/>
    <w:rsid w:val="00DA60E7"/>
    <w:rsid w:val="00DA62A0"/>
    <w:rsid w:val="00DA632F"/>
    <w:rsid w:val="00DA6472"/>
    <w:rsid w:val="00DA6B5B"/>
    <w:rsid w:val="00DB21A5"/>
    <w:rsid w:val="00DB3952"/>
    <w:rsid w:val="00DB4909"/>
    <w:rsid w:val="00DB4DA5"/>
    <w:rsid w:val="00DB599C"/>
    <w:rsid w:val="00DB68EA"/>
    <w:rsid w:val="00DC21BE"/>
    <w:rsid w:val="00DC516B"/>
    <w:rsid w:val="00DC5F5C"/>
    <w:rsid w:val="00DC6E7A"/>
    <w:rsid w:val="00DD2D51"/>
    <w:rsid w:val="00DD3A5D"/>
    <w:rsid w:val="00DD7BB6"/>
    <w:rsid w:val="00DD7E8D"/>
    <w:rsid w:val="00DE1C01"/>
    <w:rsid w:val="00DE2C71"/>
    <w:rsid w:val="00DE2D82"/>
    <w:rsid w:val="00DE3003"/>
    <w:rsid w:val="00DE3445"/>
    <w:rsid w:val="00DE3741"/>
    <w:rsid w:val="00DE57A6"/>
    <w:rsid w:val="00DE6371"/>
    <w:rsid w:val="00DE6502"/>
    <w:rsid w:val="00DE66E0"/>
    <w:rsid w:val="00DE7F0C"/>
    <w:rsid w:val="00DF2A58"/>
    <w:rsid w:val="00DF3E3E"/>
    <w:rsid w:val="00DF6A75"/>
    <w:rsid w:val="00DF6F4A"/>
    <w:rsid w:val="00DF7FBC"/>
    <w:rsid w:val="00E00AD9"/>
    <w:rsid w:val="00E00F17"/>
    <w:rsid w:val="00E0151A"/>
    <w:rsid w:val="00E02DB1"/>
    <w:rsid w:val="00E06B95"/>
    <w:rsid w:val="00E06D5B"/>
    <w:rsid w:val="00E103D5"/>
    <w:rsid w:val="00E112DF"/>
    <w:rsid w:val="00E11FA1"/>
    <w:rsid w:val="00E123CB"/>
    <w:rsid w:val="00E125F1"/>
    <w:rsid w:val="00E12C61"/>
    <w:rsid w:val="00E13078"/>
    <w:rsid w:val="00E14FA9"/>
    <w:rsid w:val="00E14FC5"/>
    <w:rsid w:val="00E15BFD"/>
    <w:rsid w:val="00E16C82"/>
    <w:rsid w:val="00E16EFD"/>
    <w:rsid w:val="00E16F97"/>
    <w:rsid w:val="00E236D0"/>
    <w:rsid w:val="00E25EC7"/>
    <w:rsid w:val="00E26C54"/>
    <w:rsid w:val="00E272C3"/>
    <w:rsid w:val="00E30C38"/>
    <w:rsid w:val="00E32EB1"/>
    <w:rsid w:val="00E365F8"/>
    <w:rsid w:val="00E4101A"/>
    <w:rsid w:val="00E439CE"/>
    <w:rsid w:val="00E443E3"/>
    <w:rsid w:val="00E45A10"/>
    <w:rsid w:val="00E45E37"/>
    <w:rsid w:val="00E469AA"/>
    <w:rsid w:val="00E5004E"/>
    <w:rsid w:val="00E50E75"/>
    <w:rsid w:val="00E51F2F"/>
    <w:rsid w:val="00E52313"/>
    <w:rsid w:val="00E5293C"/>
    <w:rsid w:val="00E53EEB"/>
    <w:rsid w:val="00E55875"/>
    <w:rsid w:val="00E56D64"/>
    <w:rsid w:val="00E56EC1"/>
    <w:rsid w:val="00E5745D"/>
    <w:rsid w:val="00E57478"/>
    <w:rsid w:val="00E575D8"/>
    <w:rsid w:val="00E6004C"/>
    <w:rsid w:val="00E61055"/>
    <w:rsid w:val="00E61E35"/>
    <w:rsid w:val="00E62590"/>
    <w:rsid w:val="00E62A60"/>
    <w:rsid w:val="00E64F21"/>
    <w:rsid w:val="00E67F50"/>
    <w:rsid w:val="00E70E68"/>
    <w:rsid w:val="00E7173B"/>
    <w:rsid w:val="00E723DA"/>
    <w:rsid w:val="00E727E5"/>
    <w:rsid w:val="00E730FA"/>
    <w:rsid w:val="00E73225"/>
    <w:rsid w:val="00E73CB5"/>
    <w:rsid w:val="00E7425C"/>
    <w:rsid w:val="00E768B1"/>
    <w:rsid w:val="00E769A6"/>
    <w:rsid w:val="00E8103B"/>
    <w:rsid w:val="00E81A91"/>
    <w:rsid w:val="00E82251"/>
    <w:rsid w:val="00E8495D"/>
    <w:rsid w:val="00E90BE1"/>
    <w:rsid w:val="00E90F8D"/>
    <w:rsid w:val="00E93322"/>
    <w:rsid w:val="00E93B1D"/>
    <w:rsid w:val="00E945A5"/>
    <w:rsid w:val="00E95812"/>
    <w:rsid w:val="00E95948"/>
    <w:rsid w:val="00E9691A"/>
    <w:rsid w:val="00EA0E53"/>
    <w:rsid w:val="00EA176D"/>
    <w:rsid w:val="00EA3613"/>
    <w:rsid w:val="00EA56E4"/>
    <w:rsid w:val="00EA65A1"/>
    <w:rsid w:val="00EA6728"/>
    <w:rsid w:val="00EA6E71"/>
    <w:rsid w:val="00EB0EBD"/>
    <w:rsid w:val="00EB19D0"/>
    <w:rsid w:val="00EB20BB"/>
    <w:rsid w:val="00EB2A0C"/>
    <w:rsid w:val="00EB2AE3"/>
    <w:rsid w:val="00EB31CB"/>
    <w:rsid w:val="00EB3ECD"/>
    <w:rsid w:val="00EB616D"/>
    <w:rsid w:val="00EB6E5E"/>
    <w:rsid w:val="00EB75FF"/>
    <w:rsid w:val="00EB7C4C"/>
    <w:rsid w:val="00EC0736"/>
    <w:rsid w:val="00EC0CAE"/>
    <w:rsid w:val="00EC1C9C"/>
    <w:rsid w:val="00EC285E"/>
    <w:rsid w:val="00EC29E3"/>
    <w:rsid w:val="00EC3B91"/>
    <w:rsid w:val="00EC6C55"/>
    <w:rsid w:val="00ED027A"/>
    <w:rsid w:val="00ED1C17"/>
    <w:rsid w:val="00ED24F6"/>
    <w:rsid w:val="00ED4D6D"/>
    <w:rsid w:val="00ED5DD0"/>
    <w:rsid w:val="00ED65A3"/>
    <w:rsid w:val="00ED6ED8"/>
    <w:rsid w:val="00EE2063"/>
    <w:rsid w:val="00EE2F97"/>
    <w:rsid w:val="00EE32BC"/>
    <w:rsid w:val="00EE42D9"/>
    <w:rsid w:val="00EE4DE4"/>
    <w:rsid w:val="00EE5442"/>
    <w:rsid w:val="00EE6392"/>
    <w:rsid w:val="00EE67B3"/>
    <w:rsid w:val="00EE73AA"/>
    <w:rsid w:val="00EF10D8"/>
    <w:rsid w:val="00EF2DA7"/>
    <w:rsid w:val="00EF35B4"/>
    <w:rsid w:val="00EF3801"/>
    <w:rsid w:val="00EF46FD"/>
    <w:rsid w:val="00EF6F17"/>
    <w:rsid w:val="00F00252"/>
    <w:rsid w:val="00F022A3"/>
    <w:rsid w:val="00F034CE"/>
    <w:rsid w:val="00F03943"/>
    <w:rsid w:val="00F04049"/>
    <w:rsid w:val="00F04476"/>
    <w:rsid w:val="00F051DC"/>
    <w:rsid w:val="00F05B0E"/>
    <w:rsid w:val="00F05BB3"/>
    <w:rsid w:val="00F065E6"/>
    <w:rsid w:val="00F06C4D"/>
    <w:rsid w:val="00F106D3"/>
    <w:rsid w:val="00F114D2"/>
    <w:rsid w:val="00F13912"/>
    <w:rsid w:val="00F139E8"/>
    <w:rsid w:val="00F14466"/>
    <w:rsid w:val="00F1616B"/>
    <w:rsid w:val="00F164F0"/>
    <w:rsid w:val="00F20220"/>
    <w:rsid w:val="00F2069B"/>
    <w:rsid w:val="00F23728"/>
    <w:rsid w:val="00F23D94"/>
    <w:rsid w:val="00F23E33"/>
    <w:rsid w:val="00F25C33"/>
    <w:rsid w:val="00F26559"/>
    <w:rsid w:val="00F26E5A"/>
    <w:rsid w:val="00F27D7A"/>
    <w:rsid w:val="00F30F22"/>
    <w:rsid w:val="00F33BEF"/>
    <w:rsid w:val="00F41BE0"/>
    <w:rsid w:val="00F446AB"/>
    <w:rsid w:val="00F45386"/>
    <w:rsid w:val="00F45FFA"/>
    <w:rsid w:val="00F46341"/>
    <w:rsid w:val="00F47F12"/>
    <w:rsid w:val="00F51502"/>
    <w:rsid w:val="00F5197A"/>
    <w:rsid w:val="00F51C3D"/>
    <w:rsid w:val="00F52838"/>
    <w:rsid w:val="00F5546F"/>
    <w:rsid w:val="00F5757E"/>
    <w:rsid w:val="00F575F1"/>
    <w:rsid w:val="00F607FB"/>
    <w:rsid w:val="00F60BA5"/>
    <w:rsid w:val="00F61609"/>
    <w:rsid w:val="00F635BB"/>
    <w:rsid w:val="00F63FEE"/>
    <w:rsid w:val="00F64804"/>
    <w:rsid w:val="00F64C09"/>
    <w:rsid w:val="00F6754F"/>
    <w:rsid w:val="00F67D1F"/>
    <w:rsid w:val="00F70A69"/>
    <w:rsid w:val="00F710F5"/>
    <w:rsid w:val="00F72490"/>
    <w:rsid w:val="00F739D4"/>
    <w:rsid w:val="00F742BE"/>
    <w:rsid w:val="00F74A2E"/>
    <w:rsid w:val="00F7670B"/>
    <w:rsid w:val="00F7672B"/>
    <w:rsid w:val="00F77720"/>
    <w:rsid w:val="00F81065"/>
    <w:rsid w:val="00F81C84"/>
    <w:rsid w:val="00F81EA0"/>
    <w:rsid w:val="00F83421"/>
    <w:rsid w:val="00F83DCF"/>
    <w:rsid w:val="00F85503"/>
    <w:rsid w:val="00F85757"/>
    <w:rsid w:val="00F86E6C"/>
    <w:rsid w:val="00F8762F"/>
    <w:rsid w:val="00F90D52"/>
    <w:rsid w:val="00F920B0"/>
    <w:rsid w:val="00F93048"/>
    <w:rsid w:val="00F94299"/>
    <w:rsid w:val="00F94FEF"/>
    <w:rsid w:val="00F967CD"/>
    <w:rsid w:val="00F96D82"/>
    <w:rsid w:val="00F96F6C"/>
    <w:rsid w:val="00F977CB"/>
    <w:rsid w:val="00F97A46"/>
    <w:rsid w:val="00FA0A74"/>
    <w:rsid w:val="00FA4307"/>
    <w:rsid w:val="00FA4523"/>
    <w:rsid w:val="00FA6E5B"/>
    <w:rsid w:val="00FA79F7"/>
    <w:rsid w:val="00FB2649"/>
    <w:rsid w:val="00FB2EFC"/>
    <w:rsid w:val="00FB3A15"/>
    <w:rsid w:val="00FB4B72"/>
    <w:rsid w:val="00FB5195"/>
    <w:rsid w:val="00FB64A6"/>
    <w:rsid w:val="00FC060F"/>
    <w:rsid w:val="00FC0A85"/>
    <w:rsid w:val="00FC10C4"/>
    <w:rsid w:val="00FC2281"/>
    <w:rsid w:val="00FC4071"/>
    <w:rsid w:val="00FC4DA5"/>
    <w:rsid w:val="00FC54BE"/>
    <w:rsid w:val="00FC698C"/>
    <w:rsid w:val="00FD2DA7"/>
    <w:rsid w:val="00FD6597"/>
    <w:rsid w:val="00FD6DA6"/>
    <w:rsid w:val="00FE02F3"/>
    <w:rsid w:val="00FE0557"/>
    <w:rsid w:val="00FE09DC"/>
    <w:rsid w:val="00FE1214"/>
    <w:rsid w:val="00FE3200"/>
    <w:rsid w:val="00FE3233"/>
    <w:rsid w:val="00FE3F74"/>
    <w:rsid w:val="00FE4A2D"/>
    <w:rsid w:val="00FE7D73"/>
    <w:rsid w:val="00FF027D"/>
    <w:rsid w:val="00FF04C1"/>
    <w:rsid w:val="00FF13EE"/>
    <w:rsid w:val="00FF187C"/>
    <w:rsid w:val="00FF41C9"/>
    <w:rsid w:val="00FF46A4"/>
    <w:rsid w:val="00FF56FE"/>
    <w:rsid w:val="00FF5889"/>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colormenu v:ext="edit" fillcolor="none [321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9" w:qFormat="1"/>
    <w:lsdException w:name="heading 3" w:semiHidden="0" w:qFormat="1"/>
    <w:lsdException w:name="heading 4"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qFormat/>
    <w:rsid w:val="00FE3200"/>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rsid w:val="009C22BE"/>
    <w:pPr>
      <w:tabs>
        <w:tab w:val="right" w:pos="7853"/>
      </w:tabs>
      <w:spacing w:before="80"/>
      <w:ind w:left="567" w:right="652"/>
    </w:pPr>
    <w:rPr>
      <w:sz w:val="17"/>
    </w:rPr>
  </w:style>
  <w:style w:type="paragraph" w:customStyle="1" w:styleId="References">
    <w:name w:val="References"/>
    <w:rsid w:val="00F13912"/>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354528"/>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D94765"/>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character" w:styleId="PlaceholderText">
    <w:name w:val="Placeholder Text"/>
    <w:basedOn w:val="DefaultParagraphFont"/>
    <w:uiPriority w:val="99"/>
    <w:semiHidden/>
    <w:rsid w:val="00AA5D06"/>
    <w:rPr>
      <w:color w:val="808080"/>
    </w:rPr>
  </w:style>
  <w:style w:type="paragraph" w:styleId="DocumentMap">
    <w:name w:val="Document Map"/>
    <w:basedOn w:val="Normal"/>
    <w:link w:val="DocumentMapChar"/>
    <w:uiPriority w:val="99"/>
    <w:semiHidden/>
    <w:rsid w:val="00477E9D"/>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77E9D"/>
    <w:rPr>
      <w:rFonts w:ascii="Tahoma" w:hAnsi="Tahoma" w:cs="Tahoma"/>
      <w:sz w:val="16"/>
      <w:szCs w:val="16"/>
      <w:lang w:val="en-AU"/>
    </w:rPr>
  </w:style>
  <w:style w:type="paragraph" w:customStyle="1" w:styleId="Default">
    <w:name w:val="Default"/>
    <w:rsid w:val="00086C1C"/>
    <w:pPr>
      <w:autoSpaceDE w:val="0"/>
      <w:autoSpaceDN w:val="0"/>
      <w:adjustRightInd w:val="0"/>
    </w:pPr>
    <w:rPr>
      <w:rFonts w:ascii="Arial" w:hAnsi="Arial" w:cs="Arial"/>
      <w:color w:val="000000"/>
      <w:sz w:val="24"/>
      <w:szCs w:val="24"/>
      <w:lang w:val="en-AU"/>
    </w:rPr>
  </w:style>
  <w:style w:type="character" w:styleId="HTMLCite">
    <w:name w:val="HTML Cite"/>
    <w:basedOn w:val="DefaultParagraphFont"/>
    <w:uiPriority w:val="99"/>
    <w:semiHidden/>
    <w:unhideWhenUsed/>
    <w:rsid w:val="008C7CA3"/>
    <w:rPr>
      <w:i w:val="0"/>
      <w:iCs w:val="0"/>
      <w:color w:val="009933"/>
    </w:rPr>
  </w:style>
  <w:style w:type="character" w:styleId="FootnoteReference">
    <w:name w:val="footnote reference"/>
    <w:basedOn w:val="DefaultParagraphFont"/>
    <w:uiPriority w:val="99"/>
    <w:semiHidden/>
    <w:rsid w:val="00F23728"/>
    <w:rPr>
      <w:vertAlign w:val="superscript"/>
    </w:rPr>
  </w:style>
  <w:style w:type="character" w:customStyle="1" w:styleId="FootnoteTextChar">
    <w:name w:val="Footnote Text Char"/>
    <w:basedOn w:val="DefaultParagraphFont"/>
    <w:link w:val="FootnoteText"/>
    <w:rsid w:val="00F23728"/>
    <w:rPr>
      <w:rFonts w:ascii="Trebuchet MS" w:hAnsi="Trebuchet MS"/>
      <w:sz w:val="16"/>
      <w:lang w:val="en-AU"/>
    </w:rPr>
  </w:style>
  <w:style w:type="character" w:customStyle="1" w:styleId="Heading2Char">
    <w:name w:val="Heading 2 Char"/>
    <w:basedOn w:val="DefaultParagraphFont"/>
    <w:link w:val="Heading2"/>
    <w:uiPriority w:val="9"/>
    <w:rsid w:val="002B688B"/>
    <w:rPr>
      <w:rFonts w:ascii="Tahoma" w:hAnsi="Tahoma" w:cs="Tahoma"/>
      <w:sz w:val="28"/>
      <w:lang w:val="en-AU"/>
    </w:rPr>
  </w:style>
  <w:style w:type="paragraph" w:customStyle="1" w:styleId="citation1">
    <w:name w:val="citation1"/>
    <w:basedOn w:val="Normal"/>
    <w:rsid w:val="00C03CD2"/>
    <w:pPr>
      <w:spacing w:before="150" w:after="150" w:line="240" w:lineRule="auto"/>
      <w:ind w:left="1200" w:right="375" w:hanging="600"/>
    </w:pPr>
    <w:rPr>
      <w:rFonts w:ascii="Times New Roman" w:hAnsi="Times New Roman"/>
      <w:sz w:val="24"/>
      <w:szCs w:val="24"/>
      <w:lang w:eastAsia="en-AU"/>
    </w:rPr>
  </w:style>
  <w:style w:type="character" w:styleId="CommentReference">
    <w:name w:val="annotation reference"/>
    <w:basedOn w:val="DefaultParagraphFont"/>
    <w:uiPriority w:val="99"/>
    <w:semiHidden/>
    <w:rsid w:val="00BD22FE"/>
    <w:rPr>
      <w:sz w:val="16"/>
      <w:szCs w:val="16"/>
    </w:rPr>
  </w:style>
  <w:style w:type="paragraph" w:styleId="CommentText">
    <w:name w:val="annotation text"/>
    <w:basedOn w:val="Normal"/>
    <w:link w:val="CommentTextChar"/>
    <w:uiPriority w:val="99"/>
    <w:semiHidden/>
    <w:rsid w:val="00BD22FE"/>
    <w:pPr>
      <w:spacing w:line="240" w:lineRule="auto"/>
    </w:pPr>
    <w:rPr>
      <w:sz w:val="20"/>
    </w:rPr>
  </w:style>
  <w:style w:type="character" w:customStyle="1" w:styleId="CommentTextChar">
    <w:name w:val="Comment Text Char"/>
    <w:basedOn w:val="DefaultParagraphFont"/>
    <w:link w:val="CommentText"/>
    <w:uiPriority w:val="99"/>
    <w:semiHidden/>
    <w:rsid w:val="00BD22FE"/>
    <w:rPr>
      <w:rFonts w:ascii="Trebuchet MS" w:hAnsi="Trebuchet MS"/>
      <w:lang w:val="en-AU"/>
    </w:rPr>
  </w:style>
  <w:style w:type="paragraph" w:styleId="CommentSubject">
    <w:name w:val="annotation subject"/>
    <w:basedOn w:val="CommentText"/>
    <w:next w:val="CommentText"/>
    <w:link w:val="CommentSubjectChar"/>
    <w:uiPriority w:val="99"/>
    <w:semiHidden/>
    <w:rsid w:val="00BD22FE"/>
    <w:rPr>
      <w:b/>
      <w:bCs/>
    </w:rPr>
  </w:style>
  <w:style w:type="character" w:customStyle="1" w:styleId="CommentSubjectChar">
    <w:name w:val="Comment Subject Char"/>
    <w:basedOn w:val="CommentTextChar"/>
    <w:link w:val="CommentSubject"/>
    <w:uiPriority w:val="99"/>
    <w:semiHidden/>
    <w:rsid w:val="00BD22FE"/>
    <w:rPr>
      <w:rFonts w:ascii="Trebuchet MS" w:hAnsi="Trebuchet MS"/>
      <w:b/>
      <w:bCs/>
      <w:lang w:val="en-AU"/>
    </w:rPr>
  </w:style>
  <w:style w:type="paragraph" w:styleId="EndnoteText">
    <w:name w:val="endnote text"/>
    <w:basedOn w:val="Normal"/>
    <w:link w:val="EndnoteTextChar"/>
    <w:uiPriority w:val="99"/>
    <w:semiHidden/>
    <w:rsid w:val="002F7F94"/>
    <w:pPr>
      <w:spacing w:before="0" w:line="240" w:lineRule="auto"/>
    </w:pPr>
    <w:rPr>
      <w:sz w:val="20"/>
    </w:rPr>
  </w:style>
  <w:style w:type="character" w:customStyle="1" w:styleId="EndnoteTextChar">
    <w:name w:val="Endnote Text Char"/>
    <w:basedOn w:val="DefaultParagraphFont"/>
    <w:link w:val="EndnoteText"/>
    <w:uiPriority w:val="99"/>
    <w:semiHidden/>
    <w:rsid w:val="002F7F94"/>
    <w:rPr>
      <w:rFonts w:ascii="Trebuchet MS" w:hAnsi="Trebuchet MS"/>
      <w:lang w:val="en-AU"/>
    </w:rPr>
  </w:style>
  <w:style w:type="character" w:styleId="EndnoteReference">
    <w:name w:val="endnote reference"/>
    <w:basedOn w:val="DefaultParagraphFont"/>
    <w:uiPriority w:val="99"/>
    <w:semiHidden/>
    <w:rsid w:val="002F7F94"/>
    <w:rPr>
      <w:vertAlign w:val="superscript"/>
    </w:rPr>
  </w:style>
  <w:style w:type="paragraph" w:customStyle="1" w:styleId="Textmorebefore">
    <w:name w:val="Text more # before"/>
    <w:basedOn w:val="Text"/>
    <w:uiPriority w:val="1"/>
    <w:qFormat/>
    <w:rsid w:val="006141D5"/>
    <w:pPr>
      <w:spacing w:before="360"/>
      <w:ind w:right="0"/>
    </w:pPr>
  </w:style>
  <w:style w:type="paragraph" w:customStyle="1" w:styleId="Textlessbefore">
    <w:name w:val="Text less # before"/>
    <w:basedOn w:val="Text"/>
    <w:uiPriority w:val="1"/>
    <w:qFormat/>
    <w:rsid w:val="0035550A"/>
    <w:pPr>
      <w:spacing w:before="8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7285">
      <w:bodyDiv w:val="1"/>
      <w:marLeft w:val="0"/>
      <w:marRight w:val="0"/>
      <w:marTop w:val="0"/>
      <w:marBottom w:val="0"/>
      <w:divBdr>
        <w:top w:val="none" w:sz="0" w:space="0" w:color="auto"/>
        <w:left w:val="none" w:sz="0" w:space="0" w:color="auto"/>
        <w:bottom w:val="none" w:sz="0" w:space="0" w:color="auto"/>
        <w:right w:val="none" w:sz="0" w:space="0" w:color="auto"/>
      </w:divBdr>
    </w:div>
    <w:div w:id="156190928">
      <w:bodyDiv w:val="1"/>
      <w:marLeft w:val="0"/>
      <w:marRight w:val="0"/>
      <w:marTop w:val="0"/>
      <w:marBottom w:val="0"/>
      <w:divBdr>
        <w:top w:val="none" w:sz="0" w:space="0" w:color="auto"/>
        <w:left w:val="none" w:sz="0" w:space="0" w:color="auto"/>
        <w:bottom w:val="none" w:sz="0" w:space="0" w:color="auto"/>
        <w:right w:val="none" w:sz="0" w:space="0" w:color="auto"/>
      </w:divBdr>
    </w:div>
    <w:div w:id="247472364">
      <w:bodyDiv w:val="1"/>
      <w:marLeft w:val="0"/>
      <w:marRight w:val="0"/>
      <w:marTop w:val="0"/>
      <w:marBottom w:val="0"/>
      <w:divBdr>
        <w:top w:val="none" w:sz="0" w:space="0" w:color="auto"/>
        <w:left w:val="none" w:sz="0" w:space="0" w:color="auto"/>
        <w:bottom w:val="none" w:sz="0" w:space="0" w:color="auto"/>
        <w:right w:val="none" w:sz="0" w:space="0" w:color="auto"/>
      </w:divBdr>
    </w:div>
    <w:div w:id="278727602">
      <w:bodyDiv w:val="1"/>
      <w:marLeft w:val="0"/>
      <w:marRight w:val="0"/>
      <w:marTop w:val="0"/>
      <w:marBottom w:val="0"/>
      <w:divBdr>
        <w:top w:val="none" w:sz="0" w:space="0" w:color="auto"/>
        <w:left w:val="none" w:sz="0" w:space="0" w:color="auto"/>
        <w:bottom w:val="none" w:sz="0" w:space="0" w:color="auto"/>
        <w:right w:val="none" w:sz="0" w:space="0" w:color="auto"/>
      </w:divBdr>
      <w:divsChild>
        <w:div w:id="302470674">
          <w:marLeft w:val="0"/>
          <w:marRight w:val="0"/>
          <w:marTop w:val="0"/>
          <w:marBottom w:val="0"/>
          <w:divBdr>
            <w:top w:val="none" w:sz="0" w:space="0" w:color="auto"/>
            <w:left w:val="none" w:sz="0" w:space="0" w:color="auto"/>
            <w:bottom w:val="none" w:sz="0" w:space="0" w:color="auto"/>
            <w:right w:val="none" w:sz="0" w:space="0" w:color="auto"/>
          </w:divBdr>
          <w:divsChild>
            <w:div w:id="802429561">
              <w:marLeft w:val="0"/>
              <w:marRight w:val="0"/>
              <w:marTop w:val="0"/>
              <w:marBottom w:val="0"/>
              <w:divBdr>
                <w:top w:val="none" w:sz="0" w:space="0" w:color="auto"/>
                <w:left w:val="none" w:sz="0" w:space="0" w:color="auto"/>
                <w:bottom w:val="none" w:sz="0" w:space="0" w:color="auto"/>
                <w:right w:val="none" w:sz="0" w:space="0" w:color="auto"/>
              </w:divBdr>
              <w:divsChild>
                <w:div w:id="1003554671">
                  <w:marLeft w:val="0"/>
                  <w:marRight w:val="0"/>
                  <w:marTop w:val="0"/>
                  <w:marBottom w:val="0"/>
                  <w:divBdr>
                    <w:top w:val="none" w:sz="0" w:space="0" w:color="auto"/>
                    <w:left w:val="none" w:sz="0" w:space="0" w:color="auto"/>
                    <w:bottom w:val="none" w:sz="0" w:space="0" w:color="auto"/>
                    <w:right w:val="none" w:sz="0" w:space="0" w:color="auto"/>
                  </w:divBdr>
                  <w:divsChild>
                    <w:div w:id="19596907">
                      <w:marLeft w:val="0"/>
                      <w:marRight w:val="0"/>
                      <w:marTop w:val="0"/>
                      <w:marBottom w:val="0"/>
                      <w:divBdr>
                        <w:top w:val="none" w:sz="0" w:space="0" w:color="auto"/>
                        <w:left w:val="none" w:sz="0" w:space="0" w:color="auto"/>
                        <w:bottom w:val="none" w:sz="0" w:space="0" w:color="auto"/>
                        <w:right w:val="none" w:sz="0" w:space="0" w:color="auto"/>
                      </w:divBdr>
                      <w:divsChild>
                        <w:div w:id="2047560145">
                          <w:marLeft w:val="0"/>
                          <w:marRight w:val="0"/>
                          <w:marTop w:val="0"/>
                          <w:marBottom w:val="0"/>
                          <w:divBdr>
                            <w:top w:val="none" w:sz="0" w:space="0" w:color="auto"/>
                            <w:left w:val="none" w:sz="0" w:space="0" w:color="auto"/>
                            <w:bottom w:val="none" w:sz="0" w:space="0" w:color="auto"/>
                            <w:right w:val="none" w:sz="0" w:space="0" w:color="auto"/>
                          </w:divBdr>
                          <w:divsChild>
                            <w:div w:id="773943057">
                              <w:marLeft w:val="0"/>
                              <w:marRight w:val="0"/>
                              <w:marTop w:val="0"/>
                              <w:marBottom w:val="0"/>
                              <w:divBdr>
                                <w:top w:val="none" w:sz="0" w:space="0" w:color="auto"/>
                                <w:left w:val="none" w:sz="0" w:space="0" w:color="auto"/>
                                <w:bottom w:val="none" w:sz="0" w:space="0" w:color="auto"/>
                                <w:right w:val="none" w:sz="0" w:space="0" w:color="auto"/>
                              </w:divBdr>
                              <w:divsChild>
                                <w:div w:id="363554354">
                                  <w:marLeft w:val="0"/>
                                  <w:marRight w:val="0"/>
                                  <w:marTop w:val="0"/>
                                  <w:marBottom w:val="0"/>
                                  <w:divBdr>
                                    <w:top w:val="none" w:sz="0" w:space="0" w:color="auto"/>
                                    <w:left w:val="none" w:sz="0" w:space="0" w:color="auto"/>
                                    <w:bottom w:val="none" w:sz="0" w:space="0" w:color="auto"/>
                                    <w:right w:val="none" w:sz="0" w:space="0" w:color="auto"/>
                                  </w:divBdr>
                                  <w:divsChild>
                                    <w:div w:id="16023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822447">
      <w:bodyDiv w:val="1"/>
      <w:marLeft w:val="0"/>
      <w:marRight w:val="0"/>
      <w:marTop w:val="0"/>
      <w:marBottom w:val="0"/>
      <w:divBdr>
        <w:top w:val="none" w:sz="0" w:space="0" w:color="auto"/>
        <w:left w:val="none" w:sz="0" w:space="0" w:color="auto"/>
        <w:bottom w:val="none" w:sz="0" w:space="0" w:color="auto"/>
        <w:right w:val="none" w:sz="0" w:space="0" w:color="auto"/>
      </w:divBdr>
    </w:div>
    <w:div w:id="479228634">
      <w:bodyDiv w:val="1"/>
      <w:marLeft w:val="0"/>
      <w:marRight w:val="0"/>
      <w:marTop w:val="0"/>
      <w:marBottom w:val="0"/>
      <w:divBdr>
        <w:top w:val="none" w:sz="0" w:space="0" w:color="auto"/>
        <w:left w:val="none" w:sz="0" w:space="0" w:color="auto"/>
        <w:bottom w:val="none" w:sz="0" w:space="0" w:color="auto"/>
        <w:right w:val="none" w:sz="0" w:space="0" w:color="auto"/>
      </w:divBdr>
      <w:divsChild>
        <w:div w:id="1250313191">
          <w:marLeft w:val="360"/>
          <w:marRight w:val="0"/>
          <w:marTop w:val="225"/>
          <w:marBottom w:val="225"/>
          <w:divBdr>
            <w:top w:val="single" w:sz="6" w:space="0" w:color="BBB9B9"/>
            <w:left w:val="single" w:sz="6" w:space="0" w:color="BBB9B9"/>
            <w:bottom w:val="single" w:sz="6" w:space="0" w:color="BBB9B9"/>
            <w:right w:val="single" w:sz="6" w:space="0" w:color="BBB9B9"/>
          </w:divBdr>
        </w:div>
      </w:divsChild>
    </w:div>
    <w:div w:id="639965910">
      <w:bodyDiv w:val="1"/>
      <w:marLeft w:val="0"/>
      <w:marRight w:val="0"/>
      <w:marTop w:val="0"/>
      <w:marBottom w:val="0"/>
      <w:divBdr>
        <w:top w:val="none" w:sz="0" w:space="0" w:color="auto"/>
        <w:left w:val="none" w:sz="0" w:space="0" w:color="auto"/>
        <w:bottom w:val="none" w:sz="0" w:space="0" w:color="auto"/>
        <w:right w:val="none" w:sz="0" w:space="0" w:color="auto"/>
      </w:divBdr>
      <w:divsChild>
        <w:div w:id="310642049">
          <w:marLeft w:val="0"/>
          <w:marRight w:val="0"/>
          <w:marTop w:val="0"/>
          <w:marBottom w:val="0"/>
          <w:divBdr>
            <w:top w:val="single" w:sz="2" w:space="8" w:color="FF0000"/>
            <w:left w:val="single" w:sz="2" w:space="11" w:color="FF0000"/>
            <w:bottom w:val="single" w:sz="2" w:space="4" w:color="FF0000"/>
            <w:right w:val="single" w:sz="2" w:space="4" w:color="FF0000"/>
          </w:divBdr>
        </w:div>
      </w:divsChild>
    </w:div>
    <w:div w:id="647132437">
      <w:bodyDiv w:val="1"/>
      <w:marLeft w:val="0"/>
      <w:marRight w:val="0"/>
      <w:marTop w:val="0"/>
      <w:marBottom w:val="0"/>
      <w:divBdr>
        <w:top w:val="none" w:sz="0" w:space="0" w:color="auto"/>
        <w:left w:val="none" w:sz="0" w:space="0" w:color="auto"/>
        <w:bottom w:val="none" w:sz="0" w:space="0" w:color="auto"/>
        <w:right w:val="none" w:sz="0" w:space="0" w:color="auto"/>
      </w:divBdr>
      <w:divsChild>
        <w:div w:id="2088184846">
          <w:marLeft w:val="0"/>
          <w:marRight w:val="0"/>
          <w:marTop w:val="0"/>
          <w:marBottom w:val="0"/>
          <w:divBdr>
            <w:top w:val="none" w:sz="0" w:space="0" w:color="auto"/>
            <w:left w:val="none" w:sz="0" w:space="0" w:color="auto"/>
            <w:bottom w:val="none" w:sz="0" w:space="0" w:color="auto"/>
            <w:right w:val="none" w:sz="0" w:space="0" w:color="auto"/>
          </w:divBdr>
        </w:div>
      </w:divsChild>
    </w:div>
    <w:div w:id="855189502">
      <w:bodyDiv w:val="1"/>
      <w:marLeft w:val="0"/>
      <w:marRight w:val="0"/>
      <w:marTop w:val="0"/>
      <w:marBottom w:val="0"/>
      <w:divBdr>
        <w:top w:val="none" w:sz="0" w:space="0" w:color="auto"/>
        <w:left w:val="none" w:sz="0" w:space="0" w:color="auto"/>
        <w:bottom w:val="none" w:sz="0" w:space="0" w:color="auto"/>
        <w:right w:val="none" w:sz="0" w:space="0" w:color="auto"/>
      </w:divBdr>
      <w:divsChild>
        <w:div w:id="385417888">
          <w:marLeft w:val="0"/>
          <w:marRight w:val="0"/>
          <w:marTop w:val="0"/>
          <w:marBottom w:val="0"/>
          <w:divBdr>
            <w:top w:val="none" w:sz="0" w:space="0" w:color="auto"/>
            <w:left w:val="none" w:sz="0" w:space="0" w:color="auto"/>
            <w:bottom w:val="none" w:sz="0" w:space="0" w:color="auto"/>
            <w:right w:val="none" w:sz="0" w:space="0" w:color="auto"/>
          </w:divBdr>
        </w:div>
      </w:divsChild>
    </w:div>
    <w:div w:id="884678520">
      <w:bodyDiv w:val="1"/>
      <w:marLeft w:val="0"/>
      <w:marRight w:val="0"/>
      <w:marTop w:val="0"/>
      <w:marBottom w:val="0"/>
      <w:divBdr>
        <w:top w:val="none" w:sz="0" w:space="0" w:color="auto"/>
        <w:left w:val="none" w:sz="0" w:space="0" w:color="auto"/>
        <w:bottom w:val="none" w:sz="0" w:space="0" w:color="auto"/>
        <w:right w:val="none" w:sz="0" w:space="0" w:color="auto"/>
      </w:divBdr>
      <w:divsChild>
        <w:div w:id="1431198848">
          <w:marLeft w:val="0"/>
          <w:marRight w:val="0"/>
          <w:marTop w:val="0"/>
          <w:marBottom w:val="0"/>
          <w:divBdr>
            <w:top w:val="none" w:sz="0" w:space="0" w:color="auto"/>
            <w:left w:val="none" w:sz="0" w:space="0" w:color="auto"/>
            <w:bottom w:val="none" w:sz="0" w:space="0" w:color="auto"/>
            <w:right w:val="none" w:sz="0" w:space="0" w:color="auto"/>
          </w:divBdr>
          <w:divsChild>
            <w:div w:id="1131089916">
              <w:marLeft w:val="0"/>
              <w:marRight w:val="0"/>
              <w:marTop w:val="0"/>
              <w:marBottom w:val="0"/>
              <w:divBdr>
                <w:top w:val="none" w:sz="0" w:space="0" w:color="auto"/>
                <w:left w:val="none" w:sz="0" w:space="0" w:color="auto"/>
                <w:bottom w:val="none" w:sz="0" w:space="0" w:color="auto"/>
                <w:right w:val="none" w:sz="0" w:space="0" w:color="auto"/>
              </w:divBdr>
              <w:divsChild>
                <w:div w:id="11402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69485">
      <w:bodyDiv w:val="1"/>
      <w:marLeft w:val="0"/>
      <w:marRight w:val="0"/>
      <w:marTop w:val="0"/>
      <w:marBottom w:val="0"/>
      <w:divBdr>
        <w:top w:val="none" w:sz="0" w:space="0" w:color="auto"/>
        <w:left w:val="none" w:sz="0" w:space="0" w:color="auto"/>
        <w:bottom w:val="none" w:sz="0" w:space="0" w:color="auto"/>
        <w:right w:val="none" w:sz="0" w:space="0" w:color="auto"/>
      </w:divBdr>
    </w:div>
    <w:div w:id="1706254873">
      <w:bodyDiv w:val="1"/>
      <w:marLeft w:val="0"/>
      <w:marRight w:val="0"/>
      <w:marTop w:val="0"/>
      <w:marBottom w:val="0"/>
      <w:divBdr>
        <w:top w:val="none" w:sz="0" w:space="0" w:color="auto"/>
        <w:left w:val="none" w:sz="0" w:space="0" w:color="auto"/>
        <w:bottom w:val="none" w:sz="0" w:space="0" w:color="auto"/>
        <w:right w:val="none" w:sz="0" w:space="0" w:color="auto"/>
      </w:divBdr>
      <w:divsChild>
        <w:div w:id="1330014918">
          <w:marLeft w:val="0"/>
          <w:marRight w:val="0"/>
          <w:marTop w:val="0"/>
          <w:marBottom w:val="0"/>
          <w:divBdr>
            <w:top w:val="none" w:sz="0" w:space="0" w:color="auto"/>
            <w:left w:val="none" w:sz="0" w:space="0" w:color="auto"/>
            <w:bottom w:val="none" w:sz="0" w:space="0" w:color="auto"/>
            <w:right w:val="none" w:sz="0" w:space="0" w:color="auto"/>
          </w:divBdr>
          <w:divsChild>
            <w:div w:id="1013456283">
              <w:marLeft w:val="0"/>
              <w:marRight w:val="0"/>
              <w:marTop w:val="0"/>
              <w:marBottom w:val="0"/>
              <w:divBdr>
                <w:top w:val="none" w:sz="0" w:space="0" w:color="auto"/>
                <w:left w:val="none" w:sz="0" w:space="0" w:color="auto"/>
                <w:bottom w:val="none" w:sz="0" w:space="0" w:color="auto"/>
                <w:right w:val="none" w:sz="0" w:space="0" w:color="auto"/>
              </w:divBdr>
              <w:divsChild>
                <w:div w:id="1795171686">
                  <w:marLeft w:val="0"/>
                  <w:marRight w:val="0"/>
                  <w:marTop w:val="0"/>
                  <w:marBottom w:val="0"/>
                  <w:divBdr>
                    <w:top w:val="none" w:sz="0" w:space="0" w:color="auto"/>
                    <w:left w:val="none" w:sz="0" w:space="0" w:color="auto"/>
                    <w:bottom w:val="none" w:sz="0" w:space="0" w:color="auto"/>
                    <w:right w:val="none" w:sz="0" w:space="0" w:color="auto"/>
                  </w:divBdr>
                  <w:divsChild>
                    <w:div w:id="1987931423">
                      <w:marLeft w:val="0"/>
                      <w:marRight w:val="0"/>
                      <w:marTop w:val="0"/>
                      <w:marBottom w:val="0"/>
                      <w:divBdr>
                        <w:top w:val="none" w:sz="0" w:space="0" w:color="auto"/>
                        <w:left w:val="none" w:sz="0" w:space="0" w:color="auto"/>
                        <w:bottom w:val="none" w:sz="0" w:space="0" w:color="auto"/>
                        <w:right w:val="none" w:sz="0" w:space="0" w:color="auto"/>
                      </w:divBdr>
                      <w:divsChild>
                        <w:div w:id="741828401">
                          <w:marLeft w:val="0"/>
                          <w:marRight w:val="0"/>
                          <w:marTop w:val="0"/>
                          <w:marBottom w:val="0"/>
                          <w:divBdr>
                            <w:top w:val="none" w:sz="0" w:space="0" w:color="auto"/>
                            <w:left w:val="none" w:sz="0" w:space="0" w:color="auto"/>
                            <w:bottom w:val="none" w:sz="0" w:space="0" w:color="auto"/>
                            <w:right w:val="none" w:sz="0" w:space="0" w:color="auto"/>
                          </w:divBdr>
                          <w:divsChild>
                            <w:div w:id="1890913892">
                              <w:marLeft w:val="0"/>
                              <w:marRight w:val="0"/>
                              <w:marTop w:val="0"/>
                              <w:marBottom w:val="0"/>
                              <w:divBdr>
                                <w:top w:val="none" w:sz="0" w:space="0" w:color="auto"/>
                                <w:left w:val="none" w:sz="0" w:space="0" w:color="auto"/>
                                <w:bottom w:val="none" w:sz="0" w:space="0" w:color="auto"/>
                                <w:right w:val="none" w:sz="0" w:space="0" w:color="auto"/>
                              </w:divBdr>
                              <w:divsChild>
                                <w:div w:id="809130900">
                                  <w:marLeft w:val="0"/>
                                  <w:marRight w:val="-14400"/>
                                  <w:marTop w:val="0"/>
                                  <w:marBottom w:val="0"/>
                                  <w:divBdr>
                                    <w:top w:val="none" w:sz="0" w:space="0" w:color="auto"/>
                                    <w:left w:val="none" w:sz="0" w:space="0" w:color="auto"/>
                                    <w:bottom w:val="none" w:sz="0" w:space="0" w:color="auto"/>
                                    <w:right w:val="none" w:sz="0" w:space="0" w:color="auto"/>
                                  </w:divBdr>
                                  <w:divsChild>
                                    <w:div w:id="1440367805">
                                      <w:marLeft w:val="0"/>
                                      <w:marRight w:val="0"/>
                                      <w:marTop w:val="0"/>
                                      <w:marBottom w:val="0"/>
                                      <w:divBdr>
                                        <w:top w:val="none" w:sz="0" w:space="0" w:color="auto"/>
                                        <w:left w:val="none" w:sz="0" w:space="0" w:color="auto"/>
                                        <w:bottom w:val="none" w:sz="0" w:space="0" w:color="auto"/>
                                        <w:right w:val="none" w:sz="0" w:space="0" w:color="auto"/>
                                      </w:divBdr>
                                      <w:divsChild>
                                        <w:div w:id="1981228791">
                                          <w:marLeft w:val="0"/>
                                          <w:marRight w:val="0"/>
                                          <w:marTop w:val="0"/>
                                          <w:marBottom w:val="0"/>
                                          <w:divBdr>
                                            <w:top w:val="none" w:sz="0" w:space="0" w:color="auto"/>
                                            <w:left w:val="none" w:sz="0" w:space="0" w:color="auto"/>
                                            <w:bottom w:val="none" w:sz="0" w:space="0" w:color="auto"/>
                                            <w:right w:val="none" w:sz="0" w:space="0" w:color="auto"/>
                                          </w:divBdr>
                                          <w:divsChild>
                                            <w:div w:id="1806701008">
                                              <w:marLeft w:val="0"/>
                                              <w:marRight w:val="0"/>
                                              <w:marTop w:val="0"/>
                                              <w:marBottom w:val="225"/>
                                              <w:divBdr>
                                                <w:top w:val="none" w:sz="0" w:space="0" w:color="auto"/>
                                                <w:left w:val="none" w:sz="0" w:space="0" w:color="auto"/>
                                                <w:bottom w:val="none" w:sz="0" w:space="0" w:color="auto"/>
                                                <w:right w:val="none" w:sz="0" w:space="0" w:color="auto"/>
                                              </w:divBdr>
                                              <w:divsChild>
                                                <w:div w:id="1442602617">
                                                  <w:marLeft w:val="0"/>
                                                  <w:marRight w:val="0"/>
                                                  <w:marTop w:val="0"/>
                                                  <w:marBottom w:val="0"/>
                                                  <w:divBdr>
                                                    <w:top w:val="none" w:sz="0" w:space="0" w:color="auto"/>
                                                    <w:left w:val="none" w:sz="0" w:space="0" w:color="auto"/>
                                                    <w:bottom w:val="none" w:sz="0" w:space="0" w:color="auto"/>
                                                    <w:right w:val="none" w:sz="0" w:space="0" w:color="auto"/>
                                                  </w:divBdr>
                                                  <w:divsChild>
                                                    <w:div w:id="236284691">
                                                      <w:marLeft w:val="0"/>
                                                      <w:marRight w:val="0"/>
                                                      <w:marTop w:val="0"/>
                                                      <w:marBottom w:val="0"/>
                                                      <w:divBdr>
                                                        <w:top w:val="none" w:sz="0" w:space="0" w:color="auto"/>
                                                        <w:left w:val="none" w:sz="0" w:space="0" w:color="auto"/>
                                                        <w:bottom w:val="none" w:sz="0" w:space="0" w:color="auto"/>
                                                        <w:right w:val="none" w:sz="0" w:space="0" w:color="auto"/>
                                                      </w:divBdr>
                                                      <w:divsChild>
                                                        <w:div w:id="699665633">
                                                          <w:marLeft w:val="0"/>
                                                          <w:marRight w:val="0"/>
                                                          <w:marTop w:val="0"/>
                                                          <w:marBottom w:val="0"/>
                                                          <w:divBdr>
                                                            <w:top w:val="none" w:sz="0" w:space="0" w:color="auto"/>
                                                            <w:left w:val="none" w:sz="0" w:space="0" w:color="auto"/>
                                                            <w:bottom w:val="none" w:sz="0" w:space="0" w:color="auto"/>
                                                            <w:right w:val="none" w:sz="0" w:space="0" w:color="auto"/>
                                                          </w:divBdr>
                                                          <w:divsChild>
                                                            <w:div w:id="456028552">
                                                              <w:marLeft w:val="0"/>
                                                              <w:marRight w:val="0"/>
                                                              <w:marTop w:val="0"/>
                                                              <w:marBottom w:val="0"/>
                                                              <w:divBdr>
                                                                <w:top w:val="none" w:sz="0" w:space="0" w:color="auto"/>
                                                                <w:left w:val="none" w:sz="0" w:space="0" w:color="auto"/>
                                                                <w:bottom w:val="none" w:sz="0" w:space="0" w:color="auto"/>
                                                                <w:right w:val="none" w:sz="0" w:space="0" w:color="auto"/>
                                                              </w:divBdr>
                                                              <w:divsChild>
                                                                <w:div w:id="16745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1364915">
      <w:bodyDiv w:val="1"/>
      <w:marLeft w:val="0"/>
      <w:marRight w:val="0"/>
      <w:marTop w:val="0"/>
      <w:marBottom w:val="0"/>
      <w:divBdr>
        <w:top w:val="none" w:sz="0" w:space="0" w:color="auto"/>
        <w:left w:val="none" w:sz="0" w:space="0" w:color="auto"/>
        <w:bottom w:val="none" w:sz="0" w:space="0" w:color="auto"/>
        <w:right w:val="none" w:sz="0" w:space="0" w:color="auto"/>
      </w:divBdr>
      <w:divsChild>
        <w:div w:id="187261117">
          <w:marLeft w:val="547"/>
          <w:marRight w:val="0"/>
          <w:marTop w:val="0"/>
          <w:marBottom w:val="0"/>
          <w:divBdr>
            <w:top w:val="none" w:sz="0" w:space="0" w:color="auto"/>
            <w:left w:val="none" w:sz="0" w:space="0" w:color="auto"/>
            <w:bottom w:val="none" w:sz="0" w:space="0" w:color="auto"/>
            <w:right w:val="none" w:sz="0" w:space="0" w:color="auto"/>
          </w:divBdr>
        </w:div>
        <w:div w:id="1470437744">
          <w:marLeft w:val="547"/>
          <w:marRight w:val="0"/>
          <w:marTop w:val="0"/>
          <w:marBottom w:val="0"/>
          <w:divBdr>
            <w:top w:val="none" w:sz="0" w:space="0" w:color="auto"/>
            <w:left w:val="none" w:sz="0" w:space="0" w:color="auto"/>
            <w:bottom w:val="none" w:sz="0" w:space="0" w:color="auto"/>
            <w:right w:val="none" w:sz="0" w:space="0" w:color="auto"/>
          </w:divBdr>
        </w:div>
      </w:divsChild>
    </w:div>
    <w:div w:id="2058816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3.xml"/><Relationship Id="rId25" Type="http://schemas.openxmlformats.org/officeDocument/2006/relationships/image" Target="media/image6.jpeg"/><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6.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ced.edu.au/" TargetMode="External"/><Relationship Id="rId24" Type="http://schemas.openxmlformats.org/officeDocument/2006/relationships/footer" Target="footer8.xml"/><Relationship Id="rId32" Type="http://schemas.openxmlformats.org/officeDocument/2006/relationships/hyperlink" Target="http://www.ncver.edu.au/publications/2421.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5.xml"/><Relationship Id="rId31" Type="http://schemas.openxmlformats.org/officeDocument/2006/relationships/hyperlink" Target="http://digitalcommons.unl.edu/cgi/viewcontent.cgi?article=1490&amp;context=psychfacpub"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footer" Target="footer10.xml"/><Relationship Id="rId30" Type="http://schemas.openxmlformats.org/officeDocument/2006/relationships/hyperlink" Target="http://www.coagreformcouncil.gov.au/sites/default/files/files/excellence/good-practice/NIRA_09-10_good_practice.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EE704-6C74-4F0D-A095-F4B6C8DC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92C6C2D1</Template>
  <TotalTime>353</TotalTime>
  <Pages>32</Pages>
  <Words>8983</Words>
  <Characters>50128</Characters>
  <Application>Microsoft Office Word</Application>
  <DocSecurity>0</DocSecurity>
  <Lines>1566</Lines>
  <Paragraphs>1136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57975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SinanGemici</dc:creator>
  <cp:lastModifiedBy>Kaye McAdam</cp:lastModifiedBy>
  <cp:revision>36</cp:revision>
  <cp:lastPrinted>2014-02-06T06:19:00Z</cp:lastPrinted>
  <dcterms:created xsi:type="dcterms:W3CDTF">2014-01-12T22:22:00Z</dcterms:created>
  <dcterms:modified xsi:type="dcterms:W3CDTF">2014-06-26T05:59:00Z</dcterms:modified>
</cp:coreProperties>
</file>