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6D" w:rsidRDefault="0088056D" w:rsidP="0088056D">
      <w:pPr>
        <w:pStyle w:val="PublicationTitle"/>
        <w:spacing w:before="0"/>
      </w:pPr>
      <w:bookmarkStart w:id="0" w:name="_Toc296423677"/>
      <w:bookmarkStart w:id="1" w:name="_Toc296497508"/>
      <w:r>
        <w:rPr>
          <w:noProof/>
          <w:lang w:eastAsia="en-AU"/>
        </w:rPr>
        <w:drawing>
          <wp:anchor distT="0" distB="0" distL="114300" distR="114300" simplePos="0" relativeHeight="251669504" behindDoc="0" locked="0" layoutInCell="1" allowOverlap="1">
            <wp:simplePos x="0" y="0"/>
            <wp:positionH relativeFrom="column">
              <wp:posOffset>-2479040</wp:posOffset>
            </wp:positionH>
            <wp:positionV relativeFrom="paragraph">
              <wp:posOffset>247015</wp:posOffset>
            </wp:positionV>
            <wp:extent cx="2876550" cy="2028825"/>
            <wp:effectExtent l="0" t="0" r="0" b="0"/>
            <wp:wrapNone/>
            <wp:docPr id="3" name="Picture 1"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LSAY\LSAY logo B&amp;W.eps"/>
                    <pic:cNvPicPr>
                      <a:picLocks noChangeAspect="1" noChangeArrowheads="1"/>
                    </pic:cNvPicPr>
                  </pic:nvPicPr>
                  <pic:blipFill>
                    <a:blip r:embed="rId8" cstate="print"/>
                    <a:srcRect/>
                    <a:stretch>
                      <a:fillRect/>
                    </a:stretch>
                  </pic:blipFill>
                  <pic:spPr bwMode="auto">
                    <a:xfrm>
                      <a:off x="0" y="0"/>
                      <a:ext cx="2876550" cy="202882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8480"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88056D" w:rsidRDefault="0088056D" w:rsidP="0088056D">
      <w:pPr>
        <w:pStyle w:val="PublicationTitle"/>
        <w:spacing w:before="0" w:after="0"/>
      </w:pPr>
    </w:p>
    <w:p w:rsidR="0088056D" w:rsidRDefault="0088056D" w:rsidP="0088056D">
      <w:pPr>
        <w:pStyle w:val="PublicationTitle"/>
        <w:spacing w:before="0" w:after="0"/>
        <w:rPr>
          <w:noProof/>
          <w:lang w:eastAsia="en-AU"/>
        </w:rPr>
      </w:pPr>
    </w:p>
    <w:p w:rsidR="0088056D" w:rsidRDefault="0088056D" w:rsidP="0088056D">
      <w:pPr>
        <w:pStyle w:val="PublicationTitle"/>
        <w:spacing w:before="0"/>
      </w:pPr>
    </w:p>
    <w:p w:rsidR="009E231A" w:rsidRPr="00213448" w:rsidRDefault="003C77AE" w:rsidP="0088056D">
      <w:pPr>
        <w:pStyle w:val="PublicationTitle"/>
        <w:spacing w:before="0"/>
      </w:pPr>
      <w:r>
        <w:rPr>
          <w:noProof/>
          <w:lang w:eastAsia="en-AU"/>
        </w:rPr>
        <w:t>Data linkage and statistical matching: options for the</w:t>
      </w:r>
      <w:r w:rsidR="001103C6">
        <w:rPr>
          <w:noProof/>
          <w:lang w:eastAsia="en-AU"/>
        </w:rPr>
        <w:t xml:space="preserve"> Longitudinal Surveys of Australian Youth</w:t>
      </w:r>
      <w:bookmarkEnd w:id="0"/>
      <w:bookmarkEnd w:id="1"/>
    </w:p>
    <w:p w:rsidR="00533023" w:rsidRDefault="00533023" w:rsidP="00B4197C">
      <w:pPr>
        <w:pStyle w:val="Authors"/>
      </w:pPr>
      <w:bookmarkStart w:id="2" w:name="_Toc296423678"/>
      <w:bookmarkStart w:id="3" w:name="_Toc296497509"/>
      <w:r>
        <w:t>Sinan Gemici</w:t>
      </w:r>
    </w:p>
    <w:p w:rsidR="00B4197C" w:rsidRPr="00213448" w:rsidRDefault="00B4197C" w:rsidP="00B4197C">
      <w:pPr>
        <w:pStyle w:val="Authors"/>
      </w:pPr>
      <w:r w:rsidRPr="00213448">
        <w:t>Nhi Nguyen</w:t>
      </w:r>
    </w:p>
    <w:bookmarkEnd w:id="2"/>
    <w:bookmarkEnd w:id="3"/>
    <w:p w:rsidR="00B4197C" w:rsidRPr="00213448" w:rsidRDefault="00B4197C" w:rsidP="00B4197C">
      <w:pPr>
        <w:pStyle w:val="Organisation"/>
      </w:pPr>
      <w:r w:rsidRPr="00213448">
        <w:t>N</w:t>
      </w:r>
      <w:r w:rsidR="00380F6D">
        <w:t xml:space="preserve">ational </w:t>
      </w:r>
      <w:r w:rsidRPr="00213448">
        <w:t>C</w:t>
      </w:r>
      <w:r w:rsidR="00380F6D">
        <w:t xml:space="preserve">entre for </w:t>
      </w:r>
      <w:r w:rsidRPr="00213448">
        <w:t>V</w:t>
      </w:r>
      <w:r w:rsidR="00380F6D">
        <w:t xml:space="preserve">ocational </w:t>
      </w:r>
      <w:r w:rsidRPr="00213448">
        <w:t>E</w:t>
      </w:r>
      <w:r w:rsidR="00380F6D">
        <w:t xml:space="preserve">ducation </w:t>
      </w:r>
      <w:r w:rsidRPr="00213448">
        <w:t>R</w:t>
      </w:r>
      <w:r w:rsidR="00380F6D">
        <w:t>esearch</w:t>
      </w:r>
    </w:p>
    <w:p w:rsidR="00DB599C" w:rsidRPr="00213448" w:rsidRDefault="007F6524" w:rsidP="0006125F">
      <w:pPr>
        <w:pStyle w:val="Heading3"/>
        <w:ind w:right="-1"/>
      </w:pPr>
      <w:bookmarkStart w:id="4" w:name="_GoBack"/>
      <w:bookmarkEnd w:id="4"/>
      <w:r>
        <w:rPr>
          <w:noProof/>
          <w:lang w:eastAsia="en-AU"/>
        </w:rPr>
        <w:pict>
          <v:shapetype id="_x0000_t202" coordsize="21600,21600" o:spt="202" path="m,l,21600r21600,l21600,xe">
            <v:stroke joinstyle="miter"/>
            <v:path gradientshapeok="t" o:connecttype="rect"/>
          </v:shapetype>
          <v:shape id="Text Box 12" o:spid="_x0000_s1026" type="#_x0000_t202" style="position:absolute;margin-left:79.95pt;margin-top:555.35pt;width:264.8pt;height:83pt;z-index:25166028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Pptg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" filled="f" stroked="f">
            <v:textbox>
              <w:txbxContent>
                <w:p w:rsidR="00020B92" w:rsidRPr="00533023" w:rsidRDefault="00020B92" w:rsidP="00533023">
                  <w:pPr>
                    <w:pStyle w:val="Heading3"/>
                    <w:rPr>
                      <w:rFonts w:ascii="Trebuchet MS" w:hAnsi="Trebuchet MS"/>
                      <w:szCs w:val="24"/>
                    </w:rPr>
                  </w:pPr>
                  <w:r w:rsidRPr="00533023">
                    <w:rPr>
                      <w:rFonts w:ascii="Trebuchet MS" w:hAnsi="Trebuchet MS"/>
                      <w:szCs w:val="24"/>
                    </w:rPr>
                    <w:t xml:space="preserve">NATIONAL CENTRE FOR VOCATIONAL EDUCATION RESEARCH </w:t>
                  </w:r>
                </w:p>
                <w:p w:rsidR="00020B92" w:rsidRPr="00533023" w:rsidRDefault="006F1296" w:rsidP="00533023">
                  <w:pPr>
                    <w:pStyle w:val="Heading3"/>
                    <w:spacing w:before="80"/>
                    <w:rPr>
                      <w:rFonts w:ascii="Trebuchet MS" w:hAnsi="Trebuchet MS"/>
                      <w:szCs w:val="24"/>
                    </w:rPr>
                  </w:pPr>
                  <w:r>
                    <w:rPr>
                      <w:rFonts w:ascii="Trebuchet MS" w:hAnsi="Trebuchet MS"/>
                      <w:b/>
                      <w:szCs w:val="24"/>
                    </w:rPr>
                    <w:t>TECHNICAL REPORT 77</w:t>
                  </w:r>
                </w:p>
                <w:p w:rsidR="00020B92" w:rsidRPr="00533023" w:rsidRDefault="00020B92" w:rsidP="00533023"/>
              </w:txbxContent>
            </v:textbox>
            <w10:wrap anchory="margin"/>
          </v:shape>
        </w:pict>
      </w:r>
      <w:r>
        <w:rPr>
          <w:noProof/>
          <w:lang w:eastAsia="en-AU"/>
        </w:rPr>
        <w:pict>
          <v:shape id="Text Box 10" o:spid="_x0000_s1027" type="#_x0000_t202" style="position:absolute;margin-left:73.1pt;margin-top:659.7pt;width:357pt;height:83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HXtw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FspB17cC&#10;AADCBQAADgAAAAAAAAAAAAAAAAAuAgAAZHJzL2Uyb0RvYy54bWxQSwECLQAUAAYACAAAACEAOx0t&#10;POAAAAANAQAADwAAAAAAAAAAAAAAAAARBQAAZHJzL2Rvd25yZXYueG1sUEsFBgAAAAAEAAQA8wAA&#10;AB4GAAAAAA==&#10;" filled="f" stroked="f">
            <v:textbox>
              <w:txbxContent>
                <w:p w:rsidR="00020B92" w:rsidRPr="00861B61" w:rsidRDefault="00020B92" w:rsidP="00861B61">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t xml:space="preserve">or </w:t>
                  </w:r>
                  <w:r w:rsidRPr="005C2FCF">
                    <w:rPr>
                      <w:color w:val="000000"/>
                    </w:rPr>
                    <w:t>state and territory governments.</w:t>
                  </w:r>
                </w:p>
              </w:txbxContent>
            </v:textbox>
            <w10:wrap anchory="margin"/>
          </v:shape>
        </w:pict>
      </w:r>
    </w:p>
    <w:p w:rsidR="009E231A" w:rsidRPr="00213448" w:rsidRDefault="00FE4A2D" w:rsidP="00E57478">
      <w:pPr>
        <w:pStyle w:val="Heading3"/>
        <w:ind w:right="-1"/>
      </w:pPr>
      <w:r w:rsidRPr="00213448">
        <w:br w:type="page"/>
      </w:r>
      <w:r w:rsidR="00F75654">
        <w:lastRenderedPageBreak/>
        <w:t>Acknowledg</w:t>
      </w:r>
      <w:r w:rsidR="00BD1174">
        <w:t>ment</w:t>
      </w:r>
    </w:p>
    <w:p w:rsidR="00BD1174" w:rsidRPr="004B60F8" w:rsidRDefault="00BD1174" w:rsidP="00282D19">
      <w:pPr>
        <w:pStyle w:val="Imprint"/>
        <w:ind w:right="1133"/>
        <w:rPr>
          <w:b/>
          <w:sz w:val="18"/>
          <w:szCs w:val="18"/>
        </w:rPr>
      </w:pPr>
      <w:r w:rsidRPr="004B60F8">
        <w:rPr>
          <w:sz w:val="18"/>
          <w:szCs w:val="18"/>
        </w:rPr>
        <w:t>The authors are grateful to Helen Rogers (Section Manager, Longitudinal Study of Australian Children, Department of Families, Housing, Community Services and Indigenous Affairs [</w:t>
      </w:r>
      <w:proofErr w:type="spellStart"/>
      <w:r w:rsidRPr="004B60F8">
        <w:rPr>
          <w:sz w:val="18"/>
          <w:szCs w:val="18"/>
        </w:rPr>
        <w:t>FaHCSIA</w:t>
      </w:r>
      <w:proofErr w:type="spellEnd"/>
      <w:r w:rsidRPr="004B60F8">
        <w:rPr>
          <w:sz w:val="18"/>
          <w:szCs w:val="18"/>
        </w:rPr>
        <w:t>]) for contributing valuable insights to this discussion paper.</w:t>
      </w:r>
    </w:p>
    <w:p w:rsidR="00233BFA" w:rsidRPr="00213448" w:rsidRDefault="00233BFA" w:rsidP="00233BFA">
      <w:pPr>
        <w:pStyle w:val="Imprint"/>
        <w:rPr>
          <w:b/>
          <w:sz w:val="19"/>
          <w:szCs w:val="19"/>
        </w:rPr>
      </w:pPr>
    </w:p>
    <w:p w:rsidR="009E231A" w:rsidRPr="00213448" w:rsidRDefault="007F6524" w:rsidP="0049453B">
      <w:pPr>
        <w:pStyle w:val="Abouttheresearch"/>
      </w:pPr>
      <w:r>
        <w:rPr>
          <w:noProof/>
          <w:lang w:eastAsia="en-AU"/>
        </w:rPr>
        <w:pict>
          <v:shape id="Text Box 14" o:spid="_x0000_s1028" type="#_x0000_t202" style="position:absolute;margin-left:0;margin-top:166.1pt;width:376.95pt;height:456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njtQIAALo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" filled="f" stroked="f">
            <v:textbox inset="0,,0">
              <w:txbxContent>
                <w:p w:rsidR="00020B92" w:rsidRPr="00EB5C10" w:rsidRDefault="00020B92" w:rsidP="00EB5C10">
                  <w:pPr>
                    <w:pStyle w:val="Imprint"/>
                    <w:rPr>
                      <w:b/>
                    </w:rPr>
                  </w:pPr>
                  <w:r w:rsidRPr="00EB5C10">
                    <w:rPr>
                      <w:b/>
                    </w:rPr>
                    <w:t>© Commonwealth of Australia, 2013</w:t>
                  </w:r>
                </w:p>
                <w:p w:rsidR="00020B92" w:rsidRDefault="00020B92" w:rsidP="00EB5C10">
                  <w:pPr>
                    <w:pStyle w:val="Imprint"/>
                    <w:rPr>
                      <w:sz w:val="20"/>
                    </w:rPr>
                  </w:pPr>
                  <w:r w:rsidRPr="00E80270">
                    <w:rPr>
                      <w:noProof/>
                      <w:sz w:val="20"/>
                      <w:lang w:eastAsia="en-AU"/>
                    </w:rPr>
                    <w:drawing>
                      <wp:inline distT="0" distB="0" distL="0" distR="0">
                        <wp:extent cx="850265" cy="302895"/>
                        <wp:effectExtent l="19050" t="0" r="6985" b="0"/>
                        <wp:docPr id="1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020B92" w:rsidRPr="00EB5C10" w:rsidRDefault="00020B92" w:rsidP="00EB5C10">
                  <w:pPr>
                    <w:pStyle w:val="Imprint"/>
                  </w:pPr>
                  <w:r w:rsidRPr="00C66E90">
                    <w:t xml:space="preserve">With the exception of the Commonwealth Coat of Arms, the Department’s logo, any material protected by a trade </w:t>
                  </w:r>
                  <w:r w:rsidRPr="00EB5C10">
                    <w:t xml:space="preserve">mark and where otherwise noted all material presented in this document is provided under a Creative Commons Attribution 3.0 Australia &lt;creativecommons.org/licenses/by/3.0/au&gt; licence. </w:t>
                  </w:r>
                </w:p>
                <w:p w:rsidR="00020B92" w:rsidRPr="00EB5C10" w:rsidRDefault="00020B92" w:rsidP="00EB5C10">
                  <w:pPr>
                    <w:pStyle w:val="Imprint"/>
                    <w:spacing w:before="80"/>
                  </w:pPr>
                  <w:r w:rsidRPr="00EB5C10">
                    <w:t>The details of the relevant licence conditions are available on the Creative Commons website (accessible using the links provided) as is the full legal code for the CC BY 3.0 AU licence &lt;creativecommons.org/licenses/by/3.0/</w:t>
                  </w:r>
                  <w:proofErr w:type="spellStart"/>
                  <w:r w:rsidRPr="00EB5C10">
                    <w:t>legalcode</w:t>
                  </w:r>
                  <w:proofErr w:type="spellEnd"/>
                  <w:r w:rsidRPr="00EB5C10">
                    <w:t>&gt;.</w:t>
                  </w:r>
                </w:p>
                <w:p w:rsidR="00020B92" w:rsidRPr="00EB5C10" w:rsidRDefault="00020B92" w:rsidP="00EB5C10">
                  <w:pPr>
                    <w:pStyle w:val="Imprint"/>
                    <w:spacing w:before="80"/>
                  </w:pPr>
                  <w:r w:rsidRPr="00EB5C10">
                    <w:t>The Creative Commons licence conditions do not apply to all logos, graphic design, artwork and photographs. Requests and enquiries concerning other reproduction and rights should be directed to the National Centre for Vocational Education Research (NCVER).</w:t>
                  </w:r>
                </w:p>
                <w:p w:rsidR="00020B92" w:rsidRPr="00EB5C10" w:rsidRDefault="00020B92" w:rsidP="00EB5C10">
                  <w:pPr>
                    <w:pStyle w:val="Imprint"/>
                  </w:pPr>
                  <w:r w:rsidRPr="00EB5C10">
                    <w:t xml:space="preserve">This document should be attributed as </w:t>
                  </w:r>
                  <w:r>
                    <w:t xml:space="preserve">Gemici, S &amp; Nguyen, N 2013, </w:t>
                  </w:r>
                  <w:r>
                    <w:rPr>
                      <w:i/>
                    </w:rPr>
                    <w:t>Data linkage and statistical matching: options for the Longitudinal Surveys of Australian Youth</w:t>
                  </w:r>
                  <w:r w:rsidRPr="00EB5C10">
                    <w:t xml:space="preserve">, NCVER, </w:t>
                  </w:r>
                  <w:proofErr w:type="gramStart"/>
                  <w:r w:rsidRPr="00EB5C10">
                    <w:t>Adelaide</w:t>
                  </w:r>
                  <w:proofErr w:type="gramEnd"/>
                  <w:r w:rsidRPr="00EB5C10">
                    <w:t>.</w:t>
                  </w:r>
                </w:p>
                <w:p w:rsidR="00020B92" w:rsidRDefault="00020B92" w:rsidP="00EB5C10">
                  <w:pPr>
                    <w:pStyle w:val="Imprint"/>
                  </w:pPr>
                  <w:r w:rsidRPr="00EB5C10">
                    <w:t>This work has been</w:t>
                  </w:r>
                  <w:r w:rsidRPr="003716FE">
                    <w:t xml:space="preserve"> produced by </w:t>
                  </w:r>
                  <w:r>
                    <w:t>NCVER</w:t>
                  </w:r>
                  <w:r w:rsidRPr="003716FE">
                    <w:t xml:space="preserve"> </w:t>
                  </w:r>
                  <w:r>
                    <w:t xml:space="preserve">through the Longitudinal Surveys of Australian Youth (LSAY) Program, </w:t>
                  </w:r>
                  <w:r w:rsidRPr="003716FE">
                    <w:t>on behalf of the Australi</w:t>
                  </w:r>
                  <w:r>
                    <w:t>an Government</w:t>
                  </w:r>
                  <w:r w:rsidRPr="003716FE">
                    <w:t xml:space="preserve"> and state and territory governments, with funding provided through the Australian Department of Education, </w:t>
                  </w:r>
                  <w:r w:rsidRPr="003716FE">
                    <w:rPr>
                      <w:color w:val="000000"/>
                    </w:rPr>
                    <w:t>Employment and Workplace Relations</w:t>
                  </w:r>
                  <w:r w:rsidRPr="003716FE">
                    <w:t xml:space="preserve">. </w:t>
                  </w:r>
                </w:p>
                <w:p w:rsidR="00020B92" w:rsidRPr="005C2FCF" w:rsidRDefault="00020B92" w:rsidP="00EB5C10">
                  <w:pPr>
                    <w:pStyle w:val="Imprint"/>
                    <w:spacing w:before="80"/>
                    <w:rPr>
                      <w:color w:val="000000"/>
                    </w:rPr>
                  </w:pPr>
                  <w:r w:rsidRPr="005C2FCF">
                    <w:rPr>
                      <w:color w:val="000000"/>
                    </w:rPr>
                    <w:t>ISBN</w:t>
                  </w:r>
                  <w:r w:rsidRPr="005C2FCF">
                    <w:rPr>
                      <w:color w:val="000000"/>
                    </w:rPr>
                    <w:tab/>
                  </w:r>
                  <w:r w:rsidRPr="00F5124F">
                    <w:rPr>
                      <w:color w:val="000000"/>
                    </w:rPr>
                    <w:t>978 1 922056 59 7</w:t>
                  </w:r>
                  <w:r>
                    <w:rPr>
                      <w:color w:val="000000"/>
                    </w:rPr>
                    <w:br/>
                  </w:r>
                  <w:r w:rsidRPr="005C2FCF">
                    <w:rPr>
                      <w:color w:val="000000"/>
                    </w:rPr>
                    <w:t>TD/TNC</w:t>
                  </w:r>
                  <w:r w:rsidRPr="005C2FCF">
                    <w:rPr>
                      <w:color w:val="000000"/>
                    </w:rPr>
                    <w:tab/>
                  </w:r>
                  <w:r>
                    <w:rPr>
                      <w:color w:val="000000"/>
                    </w:rPr>
                    <w:t>112.18</w:t>
                  </w:r>
                </w:p>
                <w:p w:rsidR="00020B92" w:rsidRPr="005C2FCF" w:rsidRDefault="00020B92" w:rsidP="00EB5C10">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020B92" w:rsidRPr="005C2FCF" w:rsidRDefault="00020B92" w:rsidP="00EB5C10">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020B92" w:rsidRDefault="00020B92" w:rsidP="00EB5C10">
                  <w:pPr>
                    <w:pStyle w:val="Imprint"/>
                    <w:spacing w:before="80"/>
                    <w:rPr>
                      <w:color w:val="000000"/>
                    </w:rPr>
                  </w:pPr>
                  <w:r w:rsidRPr="00EB5C10">
                    <w:rPr>
                      <w:b/>
                      <w:color w:val="000000"/>
                    </w:rPr>
                    <w:t>P</w:t>
                  </w:r>
                  <w:r w:rsidRPr="005C2FCF">
                    <w:rPr>
                      <w:color w:val="000000"/>
                    </w:rPr>
                    <w:t xml:space="preserve"> +61 8 8230 8400 </w:t>
                  </w:r>
                  <w:r>
                    <w:rPr>
                      <w:color w:val="000000"/>
                    </w:rPr>
                    <w:t xml:space="preserve">  </w:t>
                  </w:r>
                  <w:r w:rsidRPr="00EB5C10">
                    <w:rPr>
                      <w:b/>
                      <w:color w:val="000000"/>
                    </w:rPr>
                    <w:t>F</w:t>
                  </w:r>
                  <w:r w:rsidRPr="005C2FCF">
                    <w:rPr>
                      <w:color w:val="000000"/>
                    </w:rPr>
                    <w:t xml:space="preserve"> +61 8 8212 3436</w:t>
                  </w:r>
                  <w:r>
                    <w:rPr>
                      <w:color w:val="000000"/>
                    </w:rPr>
                    <w:t xml:space="preserve">   </w:t>
                  </w:r>
                  <w:r w:rsidRPr="00EB5C10">
                    <w:rPr>
                      <w:b/>
                      <w:color w:val="000000"/>
                    </w:rPr>
                    <w:t>E</w:t>
                  </w:r>
                  <w:r w:rsidRPr="005C2FCF">
                    <w:rPr>
                      <w:color w:val="000000"/>
                    </w:rPr>
                    <w:t xml:space="preserve"> </w:t>
                  </w:r>
                  <w:hyperlink r:id="rId11" w:history="1">
                    <w:r w:rsidR="00150CB6" w:rsidRPr="00D77AF9">
                      <w:rPr>
                        <w:rStyle w:val="Hyperlink"/>
                        <w:sz w:val="16"/>
                      </w:rPr>
                      <w:t>lsay@ncver.edu.au</w:t>
                    </w:r>
                  </w:hyperlink>
                  <w:r>
                    <w:rPr>
                      <w:color w:val="000000"/>
                    </w:rPr>
                    <w:t xml:space="preserve">   </w:t>
                  </w:r>
                  <w:r w:rsidRPr="00EB5C10">
                    <w:rPr>
                      <w:b/>
                      <w:color w:val="000000"/>
                    </w:rPr>
                    <w:t>W</w:t>
                  </w:r>
                  <w:r>
                    <w:rPr>
                      <w:color w:val="000000"/>
                    </w:rPr>
                    <w:t xml:space="preserve"> </w:t>
                  </w:r>
                  <w:r w:rsidRPr="005C2FCF">
                    <w:rPr>
                      <w:color w:val="000000"/>
                    </w:rPr>
                    <w:t>&lt;www.ncver.edu.au&gt;</w:t>
                  </w:r>
                  <w:r>
                    <w:rPr>
                      <w:color w:val="000000"/>
                    </w:rPr>
                    <w:t xml:space="preserve"> </w:t>
                  </w:r>
                </w:p>
              </w:txbxContent>
            </v:textbox>
          </v:shape>
        </w:pict>
      </w:r>
      <w:r w:rsidR="00FE4A2D" w:rsidRPr="00213448">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213448">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Pr="00213448" w:rsidRDefault="00C2560B" w:rsidP="00F93048">
      <w:pPr>
        <w:pStyle w:val="Abouttheresearchpubtitle"/>
      </w:pPr>
      <w:bookmarkStart w:id="22" w:name="_Toc98394877"/>
      <w:r>
        <w:t xml:space="preserve">Data linkage and statistical matching: options for the </w:t>
      </w:r>
      <w:r w:rsidR="001103C6">
        <w:t>Longitudinal Surveys of Australian Youth</w:t>
      </w:r>
    </w:p>
    <w:p w:rsidR="00A862BD" w:rsidRPr="00213448" w:rsidRDefault="00A862BD" w:rsidP="00A862BD">
      <w:pPr>
        <w:pStyle w:val="Heading3"/>
      </w:pPr>
      <w:bookmarkStart w:id="23" w:name="_Toc296423681"/>
      <w:bookmarkStart w:id="24" w:name="_Toc296497512"/>
      <w:bookmarkEnd w:id="22"/>
      <w:r w:rsidRPr="00213448">
        <w:t xml:space="preserve">Sinan Gemici and </w:t>
      </w:r>
      <w:proofErr w:type="gramStart"/>
      <w:r w:rsidRPr="00213448">
        <w:t>Nhi</w:t>
      </w:r>
      <w:proofErr w:type="gramEnd"/>
      <w:r w:rsidRPr="00213448">
        <w:t xml:space="preserve"> Nguyen, </w:t>
      </w:r>
      <w:bookmarkEnd w:id="23"/>
      <w:bookmarkEnd w:id="24"/>
      <w:r w:rsidRPr="00213448">
        <w:t>NCVER</w:t>
      </w:r>
    </w:p>
    <w:p w:rsidR="009E231A" w:rsidRPr="00D312A3" w:rsidRDefault="009355D5" w:rsidP="0048643A">
      <w:pPr>
        <w:pStyle w:val="Text"/>
      </w:pPr>
      <w:r w:rsidRPr="00213448">
        <w:t xml:space="preserve">Recent evaluations of </w:t>
      </w:r>
      <w:r>
        <w:t xml:space="preserve">the </w:t>
      </w:r>
      <w:r w:rsidRPr="00213448">
        <w:t>L</w:t>
      </w:r>
      <w:r>
        <w:t xml:space="preserve">ongitudinal </w:t>
      </w:r>
      <w:r w:rsidRPr="00213448">
        <w:t>S</w:t>
      </w:r>
      <w:r>
        <w:t xml:space="preserve">urveys of </w:t>
      </w:r>
      <w:r w:rsidRPr="00213448">
        <w:t>A</w:t>
      </w:r>
      <w:r>
        <w:t xml:space="preserve">ustralian </w:t>
      </w:r>
      <w:r w:rsidRPr="00213448">
        <w:t>Y</w:t>
      </w:r>
      <w:r>
        <w:t>outh (LSAY)</w:t>
      </w:r>
      <w:r w:rsidRPr="00213448">
        <w:t xml:space="preserve"> have recommended investigating the potential for combining LSAY data with</w:t>
      </w:r>
      <w:r>
        <w:t xml:space="preserve"> external data sources</w:t>
      </w:r>
      <w:r w:rsidRPr="00213448">
        <w:t xml:space="preserve"> as a way to improve the breadth of information in </w:t>
      </w:r>
      <w:r>
        <w:t>the survey</w:t>
      </w:r>
      <w:r w:rsidR="0004361E">
        <w:t>,</w:t>
      </w:r>
      <w:r>
        <w:t xml:space="preserve"> </w:t>
      </w:r>
      <w:r w:rsidR="00F75654">
        <w:t xml:space="preserve">but </w:t>
      </w:r>
      <w:r>
        <w:t>without adding</w:t>
      </w:r>
      <w:r w:rsidRPr="00213448">
        <w:t xml:space="preserve"> respondent burden.</w:t>
      </w:r>
      <w:r w:rsidR="002F006E">
        <w:t xml:space="preserve"> </w:t>
      </w:r>
      <w:r w:rsidR="00DC4ACC">
        <w:t xml:space="preserve">Against this backdrop, the purpose of this </w:t>
      </w:r>
      <w:r w:rsidR="00BE427A">
        <w:t xml:space="preserve">discussion </w:t>
      </w:r>
      <w:r w:rsidRPr="00D312A3">
        <w:t xml:space="preserve">paper </w:t>
      </w:r>
      <w:r w:rsidR="00DC4ACC">
        <w:t>is to investigate</w:t>
      </w:r>
      <w:r w:rsidRPr="00D312A3">
        <w:t xml:space="preserve"> the potential for linking data from existing adm</w:t>
      </w:r>
      <w:r w:rsidR="002F006E">
        <w:t>inistrative collections to LSAY</w:t>
      </w:r>
      <w:r w:rsidR="008F0065">
        <w:t xml:space="preserve"> and</w:t>
      </w:r>
      <w:r w:rsidR="002F006E">
        <w:t xml:space="preserve"> </w:t>
      </w:r>
      <w:r w:rsidR="0004361E">
        <w:t xml:space="preserve">to </w:t>
      </w:r>
      <w:r w:rsidRPr="00D312A3">
        <w:t>explor</w:t>
      </w:r>
      <w:r w:rsidR="00DC4ACC">
        <w:t>e</w:t>
      </w:r>
      <w:r w:rsidRPr="00D312A3">
        <w:t xml:space="preserve"> the viability of combining data from LSAY and the Longitudinal Study of Australian Children (LSAC).</w:t>
      </w:r>
    </w:p>
    <w:p w:rsidR="009E231A" w:rsidRPr="00213448" w:rsidRDefault="00FE4A2D" w:rsidP="0049453B">
      <w:pPr>
        <w:pStyle w:val="Keymessages"/>
      </w:pPr>
      <w:bookmarkStart w:id="25" w:name="_Toc98394878"/>
      <w:bookmarkStart w:id="26" w:name="_Toc296423682"/>
      <w:bookmarkStart w:id="27" w:name="_Toc296497513"/>
      <w:r w:rsidRPr="00213448">
        <w:t>Key messages</w:t>
      </w:r>
      <w:bookmarkEnd w:id="25"/>
      <w:bookmarkEnd w:id="26"/>
      <w:bookmarkEnd w:id="27"/>
    </w:p>
    <w:p w:rsidR="00D312A3" w:rsidRPr="002F006E" w:rsidRDefault="000B0386" w:rsidP="0048643A">
      <w:pPr>
        <w:pStyle w:val="Dotpoint1"/>
      </w:pPr>
      <w:r w:rsidRPr="002F006E">
        <w:t>Linking</w:t>
      </w:r>
      <w:r w:rsidR="00D312A3" w:rsidRPr="002F006E">
        <w:t xml:space="preserve"> administrative da</w:t>
      </w:r>
      <w:r w:rsidR="0004361E">
        <w:t>ta from the education, training</w:t>
      </w:r>
      <w:r w:rsidR="00D312A3" w:rsidRPr="002F006E">
        <w:t xml:space="preserve"> and health sectors would </w:t>
      </w:r>
      <w:r w:rsidRPr="002F006E">
        <w:t xml:space="preserve">greatly enhance the ability </w:t>
      </w:r>
      <w:r w:rsidR="00D312A3" w:rsidRPr="002F006E">
        <w:t>to explore key drivers of young people’s transition ou</w:t>
      </w:r>
      <w:r w:rsidRPr="002F006E">
        <w:t>tcomes in LSAY without increasing</w:t>
      </w:r>
      <w:r w:rsidR="00D312A3" w:rsidRPr="002F006E">
        <w:t xml:space="preserve"> respondent burden.</w:t>
      </w:r>
    </w:p>
    <w:p w:rsidR="00D312A3" w:rsidRPr="002F006E" w:rsidRDefault="00D312A3" w:rsidP="0048643A">
      <w:pPr>
        <w:pStyle w:val="Dotpoint1"/>
      </w:pPr>
      <w:r w:rsidRPr="002F006E">
        <w:t xml:space="preserve">The </w:t>
      </w:r>
      <w:r w:rsidR="00D94D11">
        <w:t xml:space="preserve">potential </w:t>
      </w:r>
      <w:r w:rsidRPr="002F006E">
        <w:t xml:space="preserve">benefits are particularly </w:t>
      </w:r>
      <w:r w:rsidR="00D94D11">
        <w:t>appealing</w:t>
      </w:r>
      <w:r w:rsidRPr="002F006E">
        <w:t xml:space="preserve"> in topic areas that are currently quite limited in LSAY, such as health informatio</w:t>
      </w:r>
      <w:r w:rsidR="0004361E">
        <w:t>n</w:t>
      </w:r>
      <w:r w:rsidR="00861B61">
        <w:t>,</w:t>
      </w:r>
      <w:r w:rsidR="0004361E">
        <w:t xml:space="preserve"> childhood development and </w:t>
      </w:r>
      <w:r w:rsidRPr="002F006E">
        <w:t xml:space="preserve">early education outcomes. This makes linking </w:t>
      </w:r>
      <w:r w:rsidR="00927EF2">
        <w:t xml:space="preserve">the </w:t>
      </w:r>
      <w:r w:rsidR="00D73DDA">
        <w:t xml:space="preserve">National Assessment Program — Literacy </w:t>
      </w:r>
      <w:r w:rsidR="00927EF2">
        <w:t>and Numeracy</w:t>
      </w:r>
      <w:r w:rsidR="00D73DDA">
        <w:t xml:space="preserve"> </w:t>
      </w:r>
      <w:r w:rsidR="00927EF2">
        <w:t>(</w:t>
      </w:r>
      <w:r w:rsidR="00927EF2" w:rsidRPr="002F006E">
        <w:t>NAPLAN</w:t>
      </w:r>
      <w:r w:rsidR="00927EF2">
        <w:t>)</w:t>
      </w:r>
      <w:r w:rsidR="00927EF2" w:rsidRPr="002F006E">
        <w:t xml:space="preserve"> </w:t>
      </w:r>
      <w:r w:rsidR="000B0386" w:rsidRPr="002F006E">
        <w:t>and Medicare data to LSAY the most valuable</w:t>
      </w:r>
      <w:r w:rsidRPr="002F006E">
        <w:t xml:space="preserve"> </w:t>
      </w:r>
      <w:r w:rsidR="000B0386" w:rsidRPr="002F006E">
        <w:t xml:space="preserve">initial </w:t>
      </w:r>
      <w:r w:rsidRPr="002F006E">
        <w:t>option.</w:t>
      </w:r>
    </w:p>
    <w:p w:rsidR="00F26773" w:rsidRPr="002F006E" w:rsidRDefault="00F26773" w:rsidP="0048643A">
      <w:pPr>
        <w:pStyle w:val="Dotpoint1"/>
      </w:pPr>
      <w:r w:rsidRPr="002F006E">
        <w:t xml:space="preserve">In a further stage, linking data from </w:t>
      </w:r>
      <w:r w:rsidR="00B66B2B">
        <w:t>the Department of Human Services</w:t>
      </w:r>
      <w:r w:rsidR="00B66B2B" w:rsidRPr="002F006E">
        <w:t xml:space="preserve"> </w:t>
      </w:r>
      <w:r w:rsidR="00B66B2B">
        <w:t>(</w:t>
      </w:r>
      <w:proofErr w:type="spellStart"/>
      <w:r w:rsidRPr="002F006E">
        <w:t>Centrelink</w:t>
      </w:r>
      <w:proofErr w:type="spellEnd"/>
      <w:r w:rsidR="00B66B2B">
        <w:t>)</w:t>
      </w:r>
      <w:r w:rsidRPr="002F006E">
        <w:t xml:space="preserve">, the </w:t>
      </w:r>
      <w:r w:rsidR="0004361E">
        <w:t xml:space="preserve">Australian </w:t>
      </w:r>
      <w:r w:rsidRPr="002F006E">
        <w:t>Census, and national education a</w:t>
      </w:r>
      <w:r w:rsidR="008F0065">
        <w:t>nd training statistics to LSAY could provide</w:t>
      </w:r>
      <w:r w:rsidRPr="002F006E">
        <w:t xml:space="preserve"> </w:t>
      </w:r>
      <w:r w:rsidR="00D73DDA">
        <w:t xml:space="preserve">an </w:t>
      </w:r>
      <w:r w:rsidRPr="002F006E">
        <w:t>evidence base for gen</w:t>
      </w:r>
      <w:r w:rsidR="00D73DDA">
        <w:t>erating insights into the inter</w:t>
      </w:r>
      <w:r w:rsidRPr="002F006E">
        <w:t xml:space="preserve">generational </w:t>
      </w:r>
      <w:r w:rsidR="00D94D11">
        <w:t>impact</w:t>
      </w:r>
      <w:r w:rsidRPr="002F006E">
        <w:t xml:space="preserve"> of disadvantage.</w:t>
      </w:r>
    </w:p>
    <w:p w:rsidR="00F26773" w:rsidRPr="002F006E" w:rsidRDefault="00F26773" w:rsidP="00861B61">
      <w:pPr>
        <w:pStyle w:val="Dotpoint1"/>
        <w:ind w:right="283"/>
      </w:pPr>
      <w:r w:rsidRPr="002F006E">
        <w:t xml:space="preserve">Although a statistical match between </w:t>
      </w:r>
      <w:r w:rsidR="00D73DDA">
        <w:t xml:space="preserve">the </w:t>
      </w:r>
      <w:r w:rsidR="00D73DDA" w:rsidRPr="00D312A3">
        <w:t>Longitudinal Study of Australian Children</w:t>
      </w:r>
      <w:r w:rsidRPr="002F006E">
        <w:t xml:space="preserve"> and </w:t>
      </w:r>
      <w:r w:rsidR="00861B61">
        <w:t>LSAY</w:t>
      </w:r>
      <w:r w:rsidRPr="002F006E">
        <w:t xml:space="preserve"> is at first sight appealing</w:t>
      </w:r>
      <w:r w:rsidR="0004361E">
        <w:t>,</w:t>
      </w:r>
      <w:r w:rsidRPr="002F006E">
        <w:t xml:space="preserve"> given the complementary nature of these two flagship surveys, a closer look</w:t>
      </w:r>
      <w:r w:rsidR="00861B61">
        <w:t xml:space="preserve"> </w:t>
      </w:r>
      <w:r w:rsidRPr="002F006E">
        <w:t>reveals a number of methodological obstacles</w:t>
      </w:r>
      <w:r w:rsidR="002F006E" w:rsidRPr="002F006E">
        <w:t xml:space="preserve">. Research findings from such an amalgamated dataset of ‘synthetic’ individuals </w:t>
      </w:r>
      <w:r w:rsidR="000B75CB">
        <w:t>would lack the necessary robustness</w:t>
      </w:r>
      <w:r w:rsidRPr="002F006E">
        <w:t xml:space="preserve"> to inform evidence-based policy.</w:t>
      </w:r>
    </w:p>
    <w:p w:rsidR="002F006E" w:rsidRPr="002F006E" w:rsidRDefault="00BE427A" w:rsidP="008F0065">
      <w:pPr>
        <w:pStyle w:val="Text"/>
      </w:pPr>
      <w:r>
        <w:t xml:space="preserve">Overall, </w:t>
      </w:r>
      <w:r w:rsidR="002F006E" w:rsidRPr="002F006E">
        <w:t xml:space="preserve">strong consideration should be given to </w:t>
      </w:r>
      <w:r w:rsidR="00DC4ACC">
        <w:t>concrete plans for</w:t>
      </w:r>
      <w:r w:rsidR="002F006E" w:rsidRPr="002F006E">
        <w:t xml:space="preserve"> linking administrative collections to LSAY, </w:t>
      </w:r>
      <w:r w:rsidR="00D73DDA">
        <w:t>beginning</w:t>
      </w:r>
      <w:r w:rsidR="002F006E" w:rsidRPr="002F006E">
        <w:t xml:space="preserve"> with NAPLAN and Medicare data.</w:t>
      </w:r>
    </w:p>
    <w:p w:rsidR="009E231A" w:rsidRPr="00213448" w:rsidRDefault="009E231A" w:rsidP="0048643A">
      <w:pPr>
        <w:pStyle w:val="Text"/>
      </w:pPr>
    </w:p>
    <w:p w:rsidR="009E231A" w:rsidRPr="00213448" w:rsidRDefault="00FE4A2D" w:rsidP="0048643A">
      <w:pPr>
        <w:pStyle w:val="Text"/>
      </w:pPr>
      <w:r w:rsidRPr="00213448">
        <w:t>Tom Karmel</w:t>
      </w:r>
      <w:r w:rsidRPr="00213448">
        <w:br/>
        <w:t>Managing Director, NCVER</w:t>
      </w:r>
    </w:p>
    <w:p w:rsidR="00177827" w:rsidRPr="00213448" w:rsidRDefault="00177827">
      <w:pPr>
        <w:spacing w:before="0" w:line="240" w:lineRule="auto"/>
      </w:pPr>
      <w:r w:rsidRPr="00213448">
        <w:br w:type="page"/>
      </w:r>
    </w:p>
    <w:p w:rsidR="00177827" w:rsidRPr="00213448" w:rsidRDefault="00177827" w:rsidP="00874DA5">
      <w:pPr>
        <w:pStyle w:val="Contents"/>
      </w:pPr>
    </w:p>
    <w:p w:rsidR="00177827" w:rsidRPr="00213448" w:rsidRDefault="00177827" w:rsidP="00874DA5">
      <w:pPr>
        <w:pStyle w:val="Contents"/>
        <w:sectPr w:rsidR="00177827" w:rsidRPr="00213448" w:rsidSect="00F60BA5">
          <w:pgSz w:w="11907" w:h="16840" w:code="9"/>
          <w:pgMar w:top="1276" w:right="1701" w:bottom="1276" w:left="1418" w:header="709" w:footer="556" w:gutter="0"/>
          <w:cols w:space="708"/>
          <w:docGrid w:linePitch="360"/>
        </w:sectPr>
      </w:pPr>
    </w:p>
    <w:p w:rsidR="009E231A" w:rsidRPr="00213448" w:rsidRDefault="00FE4A2D" w:rsidP="00874DA5">
      <w:pPr>
        <w:pStyle w:val="Contents"/>
      </w:pPr>
      <w:bookmarkStart w:id="28" w:name="_Toc98394880"/>
      <w:bookmarkStart w:id="29" w:name="_Toc296423683"/>
      <w:bookmarkStart w:id="30" w:name="_Toc296497514"/>
      <w:r w:rsidRPr="00213448">
        <w:lastRenderedPageBreak/>
        <w:t>Contents</w:t>
      </w:r>
      <w:bookmarkEnd w:id="28"/>
      <w:bookmarkEnd w:id="29"/>
      <w:bookmarkEnd w:id="30"/>
    </w:p>
    <w:p w:rsidR="00827B7C" w:rsidRDefault="007F6524">
      <w:pPr>
        <w:pStyle w:val="TOC1"/>
        <w:rPr>
          <w:rFonts w:asciiTheme="minorHAnsi" w:eastAsiaTheme="minorEastAsia" w:hAnsiTheme="minorHAnsi" w:cstheme="minorBidi"/>
          <w:color w:val="auto"/>
          <w:sz w:val="22"/>
          <w:szCs w:val="22"/>
          <w:lang w:eastAsia="en-AU"/>
        </w:rPr>
      </w:pPr>
      <w:r w:rsidRPr="007F6524">
        <w:rPr>
          <w:rFonts w:ascii="Avant Garde" w:hAnsi="Avant Garde"/>
        </w:rPr>
        <w:fldChar w:fldCharType="begin"/>
      </w:r>
      <w:r w:rsidR="00FE4A2D" w:rsidRPr="00213448">
        <w:rPr>
          <w:rFonts w:ascii="Avant Garde" w:hAnsi="Avant Garde"/>
        </w:rPr>
        <w:instrText xml:space="preserve"> TOC \o "1-2" </w:instrText>
      </w:r>
      <w:r w:rsidRPr="007F6524">
        <w:rPr>
          <w:rFonts w:ascii="Avant Garde" w:hAnsi="Avant Garde"/>
        </w:rPr>
        <w:fldChar w:fldCharType="separate"/>
      </w:r>
      <w:r w:rsidR="00827B7C">
        <w:t>Tables and figures</w:t>
      </w:r>
      <w:r w:rsidR="00827B7C">
        <w:tab/>
      </w:r>
      <w:r>
        <w:fldChar w:fldCharType="begin"/>
      </w:r>
      <w:r w:rsidR="00827B7C">
        <w:instrText xml:space="preserve"> PAGEREF _Toc358811256 \h </w:instrText>
      </w:r>
      <w:r>
        <w:fldChar w:fldCharType="separate"/>
      </w:r>
      <w:r w:rsidR="001C150D">
        <w:t>6</w:t>
      </w:r>
      <w:r>
        <w:fldChar w:fldCharType="end"/>
      </w:r>
    </w:p>
    <w:p w:rsidR="00827B7C" w:rsidRDefault="00827B7C">
      <w:pPr>
        <w:pStyle w:val="TOC1"/>
        <w:rPr>
          <w:rFonts w:asciiTheme="minorHAnsi" w:eastAsiaTheme="minorEastAsia" w:hAnsiTheme="minorHAnsi" w:cstheme="minorBidi"/>
          <w:color w:val="auto"/>
          <w:sz w:val="22"/>
          <w:szCs w:val="22"/>
          <w:lang w:eastAsia="en-AU"/>
        </w:rPr>
      </w:pPr>
      <w:r>
        <w:t>Executive summary</w:t>
      </w:r>
      <w:r>
        <w:tab/>
      </w:r>
      <w:r w:rsidR="007F6524">
        <w:fldChar w:fldCharType="begin"/>
      </w:r>
      <w:r>
        <w:instrText xml:space="preserve"> PAGEREF _Toc358811259 \h </w:instrText>
      </w:r>
      <w:r w:rsidR="007F6524">
        <w:fldChar w:fldCharType="separate"/>
      </w:r>
      <w:r w:rsidR="001C150D">
        <w:t>7</w:t>
      </w:r>
      <w:r w:rsidR="007F6524">
        <w:fldChar w:fldCharType="end"/>
      </w:r>
    </w:p>
    <w:p w:rsidR="00827B7C" w:rsidRDefault="00827B7C">
      <w:pPr>
        <w:pStyle w:val="TOC1"/>
        <w:rPr>
          <w:rFonts w:asciiTheme="minorHAnsi" w:eastAsiaTheme="minorEastAsia" w:hAnsiTheme="minorHAnsi" w:cstheme="minorBidi"/>
          <w:color w:val="auto"/>
          <w:sz w:val="22"/>
          <w:szCs w:val="22"/>
          <w:lang w:eastAsia="en-AU"/>
        </w:rPr>
      </w:pPr>
      <w:r>
        <w:t>Introduction</w:t>
      </w:r>
      <w:r>
        <w:tab/>
      </w:r>
      <w:r w:rsidR="007F6524">
        <w:fldChar w:fldCharType="begin"/>
      </w:r>
      <w:r>
        <w:instrText xml:space="preserve"> PAGEREF _Toc358811260 \h </w:instrText>
      </w:r>
      <w:r w:rsidR="007F6524">
        <w:fldChar w:fldCharType="separate"/>
      </w:r>
      <w:r w:rsidR="001C150D">
        <w:t>9</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Background</w:t>
      </w:r>
      <w:r>
        <w:tab/>
      </w:r>
      <w:r w:rsidR="007F6524">
        <w:fldChar w:fldCharType="begin"/>
      </w:r>
      <w:r>
        <w:instrText xml:space="preserve"> PAGEREF _Toc358811261 \h </w:instrText>
      </w:r>
      <w:r w:rsidR="007F6524">
        <w:fldChar w:fldCharType="separate"/>
      </w:r>
      <w:r w:rsidR="001C150D">
        <w:t>9</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The Longitudinal Surveys of Australian Youth</w:t>
      </w:r>
      <w:r>
        <w:tab/>
      </w:r>
      <w:r w:rsidR="007F6524">
        <w:fldChar w:fldCharType="begin"/>
      </w:r>
      <w:r>
        <w:instrText xml:space="preserve"> PAGEREF _Toc358811262 \h </w:instrText>
      </w:r>
      <w:r w:rsidR="007F6524">
        <w:fldChar w:fldCharType="separate"/>
      </w:r>
      <w:r w:rsidR="001C150D">
        <w:t>10</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Linking LSAY to other datasets</w:t>
      </w:r>
      <w:r>
        <w:tab/>
      </w:r>
      <w:r w:rsidR="007F6524">
        <w:fldChar w:fldCharType="begin"/>
      </w:r>
      <w:r>
        <w:instrText xml:space="preserve"> PAGEREF _Toc358811263 \h </w:instrText>
      </w:r>
      <w:r w:rsidR="007F6524">
        <w:fldChar w:fldCharType="separate"/>
      </w:r>
      <w:r w:rsidR="001C150D">
        <w:t>10</w:t>
      </w:r>
      <w:r w:rsidR="007F6524">
        <w:fldChar w:fldCharType="end"/>
      </w:r>
    </w:p>
    <w:p w:rsidR="00827B7C" w:rsidRDefault="00827B7C">
      <w:pPr>
        <w:pStyle w:val="TOC1"/>
        <w:rPr>
          <w:rFonts w:asciiTheme="minorHAnsi" w:eastAsiaTheme="minorEastAsia" w:hAnsiTheme="minorHAnsi" w:cstheme="minorBidi"/>
          <w:color w:val="auto"/>
          <w:sz w:val="22"/>
          <w:szCs w:val="22"/>
          <w:lang w:eastAsia="en-AU"/>
        </w:rPr>
      </w:pPr>
      <w:r>
        <w:t>Exploring data linkage with LSAY</w:t>
      </w:r>
      <w:r>
        <w:tab/>
      </w:r>
      <w:r w:rsidR="007F6524">
        <w:fldChar w:fldCharType="begin"/>
      </w:r>
      <w:r>
        <w:instrText xml:space="preserve"> PAGEREF _Toc358811264 \h </w:instrText>
      </w:r>
      <w:r w:rsidR="007F6524">
        <w:fldChar w:fldCharType="separate"/>
      </w:r>
      <w:r w:rsidR="001C150D">
        <w:t>12</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The concept of data linkage</w:t>
      </w:r>
      <w:r>
        <w:tab/>
      </w:r>
      <w:r w:rsidR="007F6524">
        <w:fldChar w:fldCharType="begin"/>
      </w:r>
      <w:r>
        <w:instrText xml:space="preserve"> PAGEREF _Toc358811265 \h </w:instrText>
      </w:r>
      <w:r w:rsidR="007F6524">
        <w:fldChar w:fldCharType="separate"/>
      </w:r>
      <w:r w:rsidR="001C150D">
        <w:t>12</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Use of data linkage in current research</w:t>
      </w:r>
      <w:r>
        <w:tab/>
      </w:r>
      <w:r w:rsidR="007F6524">
        <w:fldChar w:fldCharType="begin"/>
      </w:r>
      <w:r>
        <w:instrText xml:space="preserve"> PAGEREF _Toc358811266 \h </w:instrText>
      </w:r>
      <w:r w:rsidR="007F6524">
        <w:fldChar w:fldCharType="separate"/>
      </w:r>
      <w:r w:rsidR="001C150D">
        <w:t>12</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Challenges of data linkage</w:t>
      </w:r>
      <w:r>
        <w:tab/>
      </w:r>
      <w:r w:rsidR="007F6524">
        <w:fldChar w:fldCharType="begin"/>
      </w:r>
      <w:r>
        <w:instrText xml:space="preserve"> PAGEREF _Toc358811267 \h </w:instrText>
      </w:r>
      <w:r w:rsidR="007F6524">
        <w:fldChar w:fldCharType="separate"/>
      </w:r>
      <w:r w:rsidR="001C150D">
        <w:t>16</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Potential administrative data sources for linkage with LSAY</w:t>
      </w:r>
      <w:r>
        <w:tab/>
      </w:r>
      <w:r w:rsidR="007F6524">
        <w:fldChar w:fldCharType="begin"/>
      </w:r>
      <w:r>
        <w:instrText xml:space="preserve"> PAGEREF _Toc358811268 \h </w:instrText>
      </w:r>
      <w:r w:rsidR="007F6524">
        <w:fldChar w:fldCharType="separate"/>
      </w:r>
      <w:r w:rsidR="001C150D">
        <w:t>17</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Other potential administrative data collections</w:t>
      </w:r>
      <w:r>
        <w:tab/>
      </w:r>
      <w:r w:rsidR="007F6524">
        <w:fldChar w:fldCharType="begin"/>
      </w:r>
      <w:r>
        <w:instrText xml:space="preserve"> PAGEREF _Toc358811269 \h </w:instrText>
      </w:r>
      <w:r w:rsidR="007F6524">
        <w:fldChar w:fldCharType="separate"/>
      </w:r>
      <w:r w:rsidR="001C150D">
        <w:t>18</w:t>
      </w:r>
      <w:r w:rsidR="007F6524">
        <w:fldChar w:fldCharType="end"/>
      </w:r>
    </w:p>
    <w:p w:rsidR="00827B7C" w:rsidRDefault="00827B7C">
      <w:pPr>
        <w:pStyle w:val="TOC1"/>
        <w:rPr>
          <w:rFonts w:asciiTheme="minorHAnsi" w:eastAsiaTheme="minorEastAsia" w:hAnsiTheme="minorHAnsi" w:cstheme="minorBidi"/>
          <w:color w:val="auto"/>
          <w:sz w:val="22"/>
          <w:szCs w:val="22"/>
          <w:lang w:eastAsia="en-AU"/>
        </w:rPr>
      </w:pPr>
      <w:r>
        <w:t>Statistical matching</w:t>
      </w:r>
      <w:r>
        <w:tab/>
      </w:r>
      <w:r w:rsidR="007F6524">
        <w:fldChar w:fldCharType="begin"/>
      </w:r>
      <w:r>
        <w:instrText xml:space="preserve"> PAGEREF _Toc358811270 \h </w:instrText>
      </w:r>
      <w:r w:rsidR="007F6524">
        <w:fldChar w:fldCharType="separate"/>
      </w:r>
      <w:r w:rsidR="001C150D">
        <w:t>23</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The concept of statistical matching</w:t>
      </w:r>
      <w:r>
        <w:tab/>
      </w:r>
      <w:r w:rsidR="007F6524">
        <w:fldChar w:fldCharType="begin"/>
      </w:r>
      <w:r>
        <w:instrText xml:space="preserve"> PAGEREF _Toc358811271 \h </w:instrText>
      </w:r>
      <w:r w:rsidR="007F6524">
        <w:fldChar w:fldCharType="separate"/>
      </w:r>
      <w:r w:rsidR="001C150D">
        <w:t>23</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Limitations of statistical matching</w:t>
      </w:r>
      <w:r>
        <w:tab/>
      </w:r>
      <w:r w:rsidR="007F6524">
        <w:fldChar w:fldCharType="begin"/>
      </w:r>
      <w:r>
        <w:instrText xml:space="preserve"> PAGEREF _Toc358811272 \h </w:instrText>
      </w:r>
      <w:r w:rsidR="007F6524">
        <w:fldChar w:fldCharType="separate"/>
      </w:r>
      <w:r w:rsidR="001C150D">
        <w:t>24</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r>
        <w:t>Combining LSAY and the Longitudinal Study of Australian Children</w:t>
      </w:r>
      <w:r>
        <w:tab/>
      </w:r>
      <w:r w:rsidR="007F6524">
        <w:fldChar w:fldCharType="begin"/>
      </w:r>
      <w:r>
        <w:instrText xml:space="preserve"> PAGEREF _Toc358811273 \h </w:instrText>
      </w:r>
      <w:r w:rsidR="007F6524">
        <w:fldChar w:fldCharType="separate"/>
      </w:r>
      <w:r w:rsidR="001C150D">
        <w:t>24</w:t>
      </w:r>
      <w:r w:rsidR="007F6524">
        <w:fldChar w:fldCharType="end"/>
      </w:r>
    </w:p>
    <w:p w:rsidR="00827B7C" w:rsidRDefault="00827B7C">
      <w:pPr>
        <w:pStyle w:val="TOC1"/>
        <w:rPr>
          <w:rFonts w:asciiTheme="minorHAnsi" w:eastAsiaTheme="minorEastAsia" w:hAnsiTheme="minorHAnsi" w:cstheme="minorBidi"/>
          <w:color w:val="auto"/>
          <w:sz w:val="22"/>
          <w:szCs w:val="22"/>
          <w:lang w:eastAsia="en-AU"/>
        </w:rPr>
      </w:pPr>
      <w:r>
        <w:t>Conclusion</w:t>
      </w:r>
      <w:r>
        <w:tab/>
      </w:r>
      <w:r w:rsidR="007F6524">
        <w:fldChar w:fldCharType="begin"/>
      </w:r>
      <w:r>
        <w:instrText xml:space="preserve"> PAGEREF _Toc358811274 \h </w:instrText>
      </w:r>
      <w:r w:rsidR="007F6524">
        <w:fldChar w:fldCharType="separate"/>
      </w:r>
      <w:r w:rsidR="001C150D">
        <w:t>26</w:t>
      </w:r>
      <w:r w:rsidR="007F6524">
        <w:fldChar w:fldCharType="end"/>
      </w:r>
    </w:p>
    <w:p w:rsidR="00827B7C" w:rsidRDefault="00827B7C">
      <w:pPr>
        <w:pStyle w:val="TOC1"/>
        <w:rPr>
          <w:rFonts w:asciiTheme="minorHAnsi" w:eastAsiaTheme="minorEastAsia" w:hAnsiTheme="minorHAnsi" w:cstheme="minorBidi"/>
          <w:color w:val="auto"/>
          <w:sz w:val="22"/>
          <w:szCs w:val="22"/>
          <w:lang w:eastAsia="en-AU"/>
        </w:rPr>
      </w:pPr>
      <w:r>
        <w:t>References</w:t>
      </w:r>
      <w:r>
        <w:tab/>
      </w:r>
      <w:r w:rsidR="007F6524">
        <w:fldChar w:fldCharType="begin"/>
      </w:r>
      <w:r>
        <w:instrText xml:space="preserve"> PAGEREF _Toc358811275 \h </w:instrText>
      </w:r>
      <w:r w:rsidR="007F6524">
        <w:fldChar w:fldCharType="separate"/>
      </w:r>
      <w:r w:rsidR="001C150D">
        <w:t>27</w:t>
      </w:r>
      <w:r w:rsidR="007F6524">
        <w:fldChar w:fldCharType="end"/>
      </w:r>
    </w:p>
    <w:p w:rsidR="00827B7C" w:rsidRDefault="00827B7C" w:rsidP="00827B7C">
      <w:pPr>
        <w:pStyle w:val="TOC1"/>
        <w:rPr>
          <w:rFonts w:asciiTheme="minorHAnsi" w:eastAsiaTheme="minorEastAsia" w:hAnsiTheme="minorHAnsi" w:cstheme="minorBidi"/>
          <w:color w:val="auto"/>
          <w:sz w:val="22"/>
          <w:szCs w:val="22"/>
          <w:lang w:eastAsia="en-AU"/>
        </w:rPr>
      </w:pPr>
      <w:r>
        <w:t>Appendix</w:t>
      </w:r>
      <w:r>
        <w:tab/>
      </w:r>
      <w:r w:rsidR="007F6524">
        <w:fldChar w:fldCharType="begin"/>
      </w:r>
      <w:r>
        <w:instrText xml:space="preserve"> PAGEREF _Toc358811277 \h </w:instrText>
      </w:r>
      <w:r w:rsidR="007F6524">
        <w:fldChar w:fldCharType="separate"/>
      </w:r>
      <w:r w:rsidR="001C150D">
        <w:t>30</w:t>
      </w:r>
      <w:r w:rsidR="007F6524">
        <w:fldChar w:fldCharType="end"/>
      </w:r>
    </w:p>
    <w:p w:rsidR="00827B7C" w:rsidRDefault="00827B7C">
      <w:pPr>
        <w:pStyle w:val="TOC2"/>
        <w:rPr>
          <w:rFonts w:asciiTheme="minorHAnsi" w:eastAsiaTheme="minorEastAsia" w:hAnsiTheme="minorHAnsi" w:cstheme="minorBidi"/>
          <w:color w:val="auto"/>
          <w:sz w:val="22"/>
          <w:szCs w:val="22"/>
          <w:lang w:eastAsia="en-AU"/>
        </w:rPr>
      </w:pPr>
    </w:p>
    <w:p w:rsidR="00FE517B" w:rsidRPr="00213448" w:rsidRDefault="007F6524" w:rsidP="0048643A">
      <w:pPr>
        <w:pStyle w:val="Text"/>
        <w:rPr>
          <w:b/>
        </w:rPr>
      </w:pPr>
      <w:r w:rsidRPr="00213448">
        <w:fldChar w:fldCharType="end"/>
      </w:r>
    </w:p>
    <w:p w:rsidR="004E7227" w:rsidRPr="00FE517B" w:rsidRDefault="004E7227" w:rsidP="0048643A">
      <w:pPr>
        <w:pStyle w:val="Text"/>
        <w:rPr>
          <w:b/>
        </w:rPr>
      </w:pPr>
      <w:r w:rsidRPr="00FE517B">
        <w:rPr>
          <w:b/>
        </w:rPr>
        <w:br w:type="page"/>
      </w:r>
    </w:p>
    <w:p w:rsidR="004E7227" w:rsidRPr="00213448" w:rsidRDefault="004E7227" w:rsidP="004E7227">
      <w:pPr>
        <w:pStyle w:val="Heading1"/>
      </w:pPr>
      <w:bookmarkStart w:id="31" w:name="_Toc358811256"/>
      <w:r w:rsidRPr="00213448">
        <w:lastRenderedPageBreak/>
        <w:t>Tables and figures</w:t>
      </w:r>
      <w:bookmarkEnd w:id="31"/>
    </w:p>
    <w:p w:rsidR="004E7227" w:rsidRPr="00213448" w:rsidRDefault="004E7227" w:rsidP="004E7227">
      <w:pPr>
        <w:pStyle w:val="Heading2"/>
      </w:pPr>
      <w:bookmarkStart w:id="32" w:name="_Toc296497516"/>
      <w:bookmarkStart w:id="33" w:name="_Toc298162801"/>
      <w:bookmarkStart w:id="34" w:name="_Toc358811257"/>
      <w:r w:rsidRPr="00213448">
        <w:t>Tables</w:t>
      </w:r>
      <w:bookmarkEnd w:id="32"/>
      <w:bookmarkEnd w:id="33"/>
      <w:bookmarkEnd w:id="34"/>
    </w:p>
    <w:p w:rsidR="00827B7C" w:rsidRDefault="007F6524">
      <w:pPr>
        <w:pStyle w:val="TableofFigures"/>
        <w:tabs>
          <w:tab w:val="left" w:pos="880"/>
        </w:tabs>
        <w:rPr>
          <w:rFonts w:asciiTheme="minorHAnsi" w:eastAsiaTheme="minorEastAsia" w:hAnsiTheme="minorHAnsi" w:cstheme="minorBidi"/>
          <w:color w:val="auto"/>
          <w:sz w:val="22"/>
          <w:szCs w:val="22"/>
          <w:lang w:eastAsia="en-AU"/>
        </w:rPr>
      </w:pPr>
      <w:r w:rsidRPr="007F6524">
        <w:fldChar w:fldCharType="begin"/>
      </w:r>
      <w:r w:rsidR="004E7227" w:rsidRPr="00213448">
        <w:instrText xml:space="preserve"> TOC \f F \t "tabletitle" \c </w:instrText>
      </w:r>
      <w:r w:rsidRPr="007F6524">
        <w:fldChar w:fldCharType="separate"/>
      </w:r>
      <w:r w:rsidR="00827B7C">
        <w:t>1</w:t>
      </w:r>
      <w:r w:rsidR="00827B7C">
        <w:rPr>
          <w:rFonts w:asciiTheme="minorHAnsi" w:eastAsiaTheme="minorEastAsia" w:hAnsiTheme="minorHAnsi" w:cstheme="minorBidi"/>
          <w:color w:val="auto"/>
          <w:sz w:val="22"/>
          <w:szCs w:val="22"/>
          <w:lang w:eastAsia="en-AU"/>
        </w:rPr>
        <w:tab/>
      </w:r>
      <w:r w:rsidR="00827B7C">
        <w:t>Overview of LSAY characteristics</w:t>
      </w:r>
      <w:r w:rsidR="00827B7C">
        <w:tab/>
      </w:r>
      <w:r>
        <w:fldChar w:fldCharType="begin"/>
      </w:r>
      <w:r w:rsidR="00827B7C">
        <w:instrText xml:space="preserve"> PAGEREF _Toc358811316 \h </w:instrText>
      </w:r>
      <w:r>
        <w:fldChar w:fldCharType="separate"/>
      </w:r>
      <w:r w:rsidR="001C150D">
        <w:t>10</w:t>
      </w:r>
      <w:r>
        <w:fldChar w:fldCharType="end"/>
      </w:r>
    </w:p>
    <w:p w:rsidR="00827B7C" w:rsidRDefault="00827B7C">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Major LSAY topic areas</w:t>
      </w:r>
      <w:r>
        <w:tab/>
      </w:r>
      <w:r w:rsidR="007F6524">
        <w:fldChar w:fldCharType="begin"/>
      </w:r>
      <w:r>
        <w:instrText xml:space="preserve"> PAGEREF _Toc358811317 \h </w:instrText>
      </w:r>
      <w:r w:rsidR="007F6524">
        <w:fldChar w:fldCharType="separate"/>
      </w:r>
      <w:r w:rsidR="001C150D">
        <w:t>10</w:t>
      </w:r>
      <w:r w:rsidR="007F6524">
        <w:fldChar w:fldCharType="end"/>
      </w:r>
    </w:p>
    <w:p w:rsidR="00827B7C" w:rsidRDefault="00827B7C">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Summary of select research studies using linked data</w:t>
      </w:r>
      <w:r>
        <w:tab/>
      </w:r>
      <w:r w:rsidR="007F6524">
        <w:fldChar w:fldCharType="begin"/>
      </w:r>
      <w:r>
        <w:instrText xml:space="preserve"> PAGEREF _Toc358811318 \h </w:instrText>
      </w:r>
      <w:r w:rsidR="007F6524">
        <w:fldChar w:fldCharType="separate"/>
      </w:r>
      <w:r w:rsidR="001C150D">
        <w:t>13</w:t>
      </w:r>
      <w:r w:rsidR="007F6524">
        <w:fldChar w:fldCharType="end"/>
      </w:r>
    </w:p>
    <w:p w:rsidR="00827B7C" w:rsidRDefault="00827B7C">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Overview of L</w:t>
      </w:r>
      <w:r w:rsidR="00861B61">
        <w:t xml:space="preserve">ongitudinal </w:t>
      </w:r>
      <w:r>
        <w:t>S</w:t>
      </w:r>
      <w:r w:rsidR="00861B61">
        <w:t xml:space="preserve">tudy of </w:t>
      </w:r>
      <w:r>
        <w:t>A</w:t>
      </w:r>
      <w:r w:rsidR="00861B61">
        <w:t xml:space="preserve">ustralian </w:t>
      </w:r>
      <w:r>
        <w:t>C</w:t>
      </w:r>
      <w:r w:rsidR="00861B61">
        <w:t>hildren</w:t>
      </w:r>
      <w:r>
        <w:t xml:space="preserve"> characteristics</w:t>
      </w:r>
      <w:r>
        <w:tab/>
      </w:r>
      <w:r w:rsidR="007F6524">
        <w:fldChar w:fldCharType="begin"/>
      </w:r>
      <w:r>
        <w:instrText xml:space="preserve"> PAGEREF _Toc358811319 \h </w:instrText>
      </w:r>
      <w:r w:rsidR="007F6524">
        <w:fldChar w:fldCharType="separate"/>
      </w:r>
      <w:r w:rsidR="001C150D">
        <w:t>14</w:t>
      </w:r>
      <w:r w:rsidR="007F6524">
        <w:fldChar w:fldCharType="end"/>
      </w:r>
    </w:p>
    <w:p w:rsidR="00827B7C" w:rsidRDefault="00827B7C">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Major </w:t>
      </w:r>
      <w:r w:rsidR="00861B61">
        <w:t xml:space="preserve">Longitudinal Study of Australian Children </w:t>
      </w:r>
      <w:r>
        <w:t>topic areas</w:t>
      </w:r>
      <w:r>
        <w:tab/>
      </w:r>
      <w:r w:rsidR="007F6524">
        <w:fldChar w:fldCharType="begin"/>
      </w:r>
      <w:r>
        <w:instrText xml:space="preserve"> PAGEREF _Toc358811320 \h </w:instrText>
      </w:r>
      <w:r w:rsidR="007F6524">
        <w:fldChar w:fldCharType="separate"/>
      </w:r>
      <w:r w:rsidR="001C150D">
        <w:t>14</w:t>
      </w:r>
      <w:r w:rsidR="007F6524">
        <w:fldChar w:fldCharType="end"/>
      </w:r>
    </w:p>
    <w:p w:rsidR="00827B7C" w:rsidRDefault="00827B7C">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Attrition in the LSAY Y06 cohort</w:t>
      </w:r>
      <w:r>
        <w:tab/>
      </w:r>
      <w:r w:rsidR="007F6524">
        <w:fldChar w:fldCharType="begin"/>
      </w:r>
      <w:r>
        <w:instrText xml:space="preserve"> PAGEREF _Toc358811321 \h </w:instrText>
      </w:r>
      <w:r w:rsidR="007F6524">
        <w:fldChar w:fldCharType="separate"/>
      </w:r>
      <w:r w:rsidR="001C150D">
        <w:t>22</w:t>
      </w:r>
      <w:r w:rsidR="007F6524">
        <w:fldChar w:fldCharType="end"/>
      </w:r>
    </w:p>
    <w:p w:rsidR="00827B7C" w:rsidRDefault="00827B7C">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Common and unique variables in </w:t>
      </w:r>
      <w:r w:rsidR="00861B61">
        <w:t xml:space="preserve">Longitudinal Study of Australian </w:t>
      </w:r>
      <w:r w:rsidR="00861B61">
        <w:br/>
        <w:t xml:space="preserve">Children </w:t>
      </w:r>
      <w:r>
        <w:t>and LSAY</w:t>
      </w:r>
      <w:r>
        <w:tab/>
      </w:r>
      <w:r w:rsidR="007F6524">
        <w:fldChar w:fldCharType="begin"/>
      </w:r>
      <w:r>
        <w:instrText xml:space="preserve"> PAGEREF _Toc358811322 \h </w:instrText>
      </w:r>
      <w:r w:rsidR="007F6524">
        <w:fldChar w:fldCharType="separate"/>
      </w:r>
      <w:r w:rsidR="001C150D">
        <w:t>23</w:t>
      </w:r>
      <w:r w:rsidR="007F6524">
        <w:fldChar w:fldCharType="end"/>
      </w:r>
    </w:p>
    <w:p w:rsidR="00827B7C" w:rsidRDefault="007F6524" w:rsidP="004E7227">
      <w:pPr>
        <w:pStyle w:val="Heading2"/>
        <w:rPr>
          <w:noProof/>
        </w:rPr>
      </w:pPr>
      <w:r w:rsidRPr="00213448">
        <w:fldChar w:fldCharType="end"/>
      </w:r>
      <w:bookmarkStart w:id="35" w:name="_Toc296497517"/>
      <w:bookmarkStart w:id="36" w:name="_Toc298162802"/>
      <w:bookmarkStart w:id="37" w:name="_Toc358811258"/>
      <w:r w:rsidR="004E7227" w:rsidRPr="00213448">
        <w:t>Figures</w:t>
      </w:r>
      <w:bookmarkEnd w:id="35"/>
      <w:bookmarkEnd w:id="36"/>
      <w:bookmarkEnd w:id="37"/>
      <w:r w:rsidRPr="007F6524">
        <w:rPr>
          <w:rFonts w:ascii="Garamond" w:hAnsi="Garamond"/>
          <w:sz w:val="22"/>
        </w:rPr>
        <w:fldChar w:fldCharType="begin"/>
      </w:r>
      <w:r w:rsidR="004E7227" w:rsidRPr="00213448">
        <w:instrText xml:space="preserve"> TOC \t "Figuretitle" \c </w:instrText>
      </w:r>
      <w:r w:rsidRPr="007F6524">
        <w:rPr>
          <w:rFonts w:ascii="Garamond" w:hAnsi="Garamond"/>
          <w:sz w:val="22"/>
        </w:rPr>
        <w:fldChar w:fldCharType="separate"/>
      </w:r>
    </w:p>
    <w:p w:rsidR="00827B7C" w:rsidRDefault="00827B7C">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Concept of the A</w:t>
      </w:r>
      <w:r w:rsidR="009F76E6">
        <w:t xml:space="preserve">ustralian </w:t>
      </w:r>
      <w:r>
        <w:t>L</w:t>
      </w:r>
      <w:r w:rsidR="009F76E6">
        <w:t xml:space="preserve">ongitudinal </w:t>
      </w:r>
      <w:r>
        <w:t>L</w:t>
      </w:r>
      <w:r w:rsidR="009F76E6">
        <w:t xml:space="preserve">earning </w:t>
      </w:r>
      <w:r>
        <w:t>D</w:t>
      </w:r>
      <w:r w:rsidR="009F76E6">
        <w:t>atabase</w:t>
      </w:r>
      <w:r>
        <w:tab/>
      </w:r>
      <w:r w:rsidR="007F6524">
        <w:fldChar w:fldCharType="begin"/>
      </w:r>
      <w:r>
        <w:instrText xml:space="preserve"> PAGEREF _Toc358811325 \h </w:instrText>
      </w:r>
      <w:r w:rsidR="007F6524">
        <w:fldChar w:fldCharType="separate"/>
      </w:r>
      <w:r w:rsidR="001C150D">
        <w:t>15</w:t>
      </w:r>
      <w:r w:rsidR="007F6524">
        <w:fldChar w:fldCharType="end"/>
      </w:r>
    </w:p>
    <w:p w:rsidR="00FE517B" w:rsidRPr="00213448" w:rsidRDefault="007F6524" w:rsidP="00282D19">
      <w:pPr>
        <w:pStyle w:val="TableofFigures"/>
        <w:rPr>
          <w:b/>
        </w:rPr>
      </w:pPr>
      <w:r w:rsidRPr="00213448">
        <w:fldChar w:fldCharType="end"/>
      </w:r>
    </w:p>
    <w:p w:rsidR="00A93867" w:rsidRPr="00FE517B" w:rsidRDefault="00A93867" w:rsidP="00FE517B">
      <w:pPr>
        <w:pStyle w:val="Text"/>
        <w:rPr>
          <w:b/>
        </w:rPr>
      </w:pPr>
      <w:r w:rsidRPr="00213448">
        <w:rPr>
          <w:b/>
        </w:rPr>
        <w:br w:type="page"/>
      </w:r>
    </w:p>
    <w:p w:rsidR="009E231A" w:rsidRPr="00213448" w:rsidRDefault="00FE4A2D" w:rsidP="008C0A74">
      <w:pPr>
        <w:pStyle w:val="Heading1"/>
      </w:pPr>
      <w:bookmarkStart w:id="38" w:name="_Toc358811259"/>
      <w:r w:rsidRPr="00213448">
        <w:lastRenderedPageBreak/>
        <w:t>Executive summary</w:t>
      </w:r>
      <w:bookmarkEnd w:id="38"/>
    </w:p>
    <w:p w:rsidR="0022141E" w:rsidRDefault="00624BCE" w:rsidP="00282D19">
      <w:pPr>
        <w:pStyle w:val="Text"/>
      </w:pPr>
      <w:r>
        <w:t xml:space="preserve">Understanding </w:t>
      </w:r>
      <w:r w:rsidRPr="00213448">
        <w:t>youth transitions requires information on young people’s individual background characteristics and the circumstances under which they grow up.</w:t>
      </w:r>
      <w:r w:rsidR="0042387E">
        <w:t xml:space="preserve"> </w:t>
      </w:r>
      <w:r w:rsidR="00CA5951">
        <w:t>In fact</w:t>
      </w:r>
      <w:r w:rsidR="001F1BF3">
        <w:t>, t</w:t>
      </w:r>
      <w:r w:rsidR="0042387E" w:rsidRPr="00213448">
        <w:t xml:space="preserve">he ability to assemble information </w:t>
      </w:r>
      <w:r w:rsidR="0042387E">
        <w:t xml:space="preserve">about </w:t>
      </w:r>
      <w:r w:rsidR="0042387E" w:rsidRPr="00213448">
        <w:t>family and commun</w:t>
      </w:r>
      <w:r w:rsidR="0004361E">
        <w:t>ity background, physical health and</w:t>
      </w:r>
      <w:r w:rsidR="0042387E" w:rsidRPr="00213448">
        <w:t xml:space="preserve"> psycho-social development, as well as academic achievement and the broader school environment</w:t>
      </w:r>
      <w:r w:rsidR="00D73DDA">
        <w:t>,</w:t>
      </w:r>
      <w:r w:rsidR="0042387E" w:rsidRPr="00213448">
        <w:t xml:space="preserve"> into a coherent data stream</w:t>
      </w:r>
      <w:r w:rsidR="0004361E">
        <w:t>,</w:t>
      </w:r>
      <w:r w:rsidR="0042387E" w:rsidRPr="00213448">
        <w:t xml:space="preserve"> from infancy right through to adulthood</w:t>
      </w:r>
      <w:r w:rsidR="0004361E">
        <w:t>,</w:t>
      </w:r>
      <w:r w:rsidR="0042387E" w:rsidRPr="00213448">
        <w:t xml:space="preserve"> is </w:t>
      </w:r>
      <w:r w:rsidR="0042387E">
        <w:t>invaluable</w:t>
      </w:r>
      <w:r w:rsidR="0042387E" w:rsidRPr="00213448">
        <w:t xml:space="preserve"> for developing effective </w:t>
      </w:r>
      <w:r w:rsidR="0042387E">
        <w:t>policy settings</w:t>
      </w:r>
      <w:r w:rsidR="0042387E" w:rsidRPr="00213448">
        <w:t>.</w:t>
      </w:r>
      <w:r w:rsidR="001F1BF3">
        <w:t xml:space="preserve"> However,</w:t>
      </w:r>
      <w:r w:rsidR="0042387E">
        <w:t xml:space="preserve"> n</w:t>
      </w:r>
      <w:r w:rsidR="0042387E" w:rsidRPr="00213448">
        <w:t xml:space="preserve">o single data source in Australia currently provides </w:t>
      </w:r>
      <w:r w:rsidR="0042387E">
        <w:t>coverage of</w:t>
      </w:r>
      <w:r w:rsidR="0042387E" w:rsidRPr="00213448">
        <w:t xml:space="preserve"> young people’s developmental trajectories from </w:t>
      </w:r>
      <w:r w:rsidR="0042387E">
        <w:t xml:space="preserve">birth and </w:t>
      </w:r>
      <w:r w:rsidR="0042387E" w:rsidRPr="00213448">
        <w:t>early childhood</w:t>
      </w:r>
      <w:r w:rsidR="00D73DDA">
        <w:t>,</w:t>
      </w:r>
      <w:r w:rsidR="0042387E" w:rsidRPr="00213448">
        <w:t xml:space="preserve"> to tertiary education and entry into the labour market.</w:t>
      </w:r>
    </w:p>
    <w:p w:rsidR="001F1BF3" w:rsidRDefault="0042387E" w:rsidP="00282D19">
      <w:pPr>
        <w:pStyle w:val="Text"/>
      </w:pPr>
      <w:r>
        <w:t xml:space="preserve">One </w:t>
      </w:r>
      <w:r w:rsidR="00BB793B">
        <w:t>option</w:t>
      </w:r>
      <w:r w:rsidR="00D37D62">
        <w:t xml:space="preserve"> </w:t>
      </w:r>
      <w:r w:rsidR="00D73DDA">
        <w:t>for</w:t>
      </w:r>
      <w:r w:rsidR="00D37D62">
        <w:t xml:space="preserve"> a</w:t>
      </w:r>
      <w:r w:rsidR="00C645B7">
        <w:t>ddress</w:t>
      </w:r>
      <w:r w:rsidR="00927EF2">
        <w:t>ing</w:t>
      </w:r>
      <w:r w:rsidR="00C645B7">
        <w:t xml:space="preserve"> the lack of</w:t>
      </w:r>
      <w:r w:rsidR="00D37D62">
        <w:t xml:space="preserve"> life-course data</w:t>
      </w:r>
      <w:r w:rsidR="001F1BF3">
        <w:t xml:space="preserve"> is to link </w:t>
      </w:r>
      <w:r w:rsidR="00CA5951">
        <w:t>an existing flagship youth survey such as the Longitudinal Surveys of Australian Youth (</w:t>
      </w:r>
      <w:r w:rsidR="001F1BF3">
        <w:t>LSAY</w:t>
      </w:r>
      <w:r w:rsidR="00CA5951">
        <w:t>)</w:t>
      </w:r>
      <w:r w:rsidR="001F1BF3">
        <w:t xml:space="preserve"> </w:t>
      </w:r>
      <w:r w:rsidR="00927EF2">
        <w:t>to</w:t>
      </w:r>
      <w:r w:rsidR="001F1BF3">
        <w:t xml:space="preserve"> existing a</w:t>
      </w:r>
      <w:r w:rsidR="001F1BF3" w:rsidRPr="00213448">
        <w:t>dministrative collections</w:t>
      </w:r>
      <w:r w:rsidR="001F1BF3">
        <w:t>,</w:t>
      </w:r>
      <w:r w:rsidR="001F1BF3" w:rsidRPr="00213448">
        <w:t xml:space="preserve"> such as </w:t>
      </w:r>
      <w:r w:rsidR="001F1BF3">
        <w:t xml:space="preserve">the </w:t>
      </w:r>
      <w:r w:rsidR="00927EF2">
        <w:t>National Assessment Program —</w:t>
      </w:r>
      <w:r w:rsidR="001F1BF3" w:rsidRPr="005C2624">
        <w:t xml:space="preserve"> Lite</w:t>
      </w:r>
      <w:r w:rsidR="001F1BF3">
        <w:t xml:space="preserve">racy and Numeracy (NAPLAN), Medicare Australia </w:t>
      </w:r>
      <w:r w:rsidR="0048319D">
        <w:t xml:space="preserve">and </w:t>
      </w:r>
      <w:r w:rsidR="001F1BF3">
        <w:t>o</w:t>
      </w:r>
      <w:r w:rsidR="0048319D">
        <w:t>thers.</w:t>
      </w:r>
      <w:r w:rsidR="001F1BF3">
        <w:t xml:space="preserve"> </w:t>
      </w:r>
      <w:r w:rsidR="00BB793B">
        <w:t>Data linkage</w:t>
      </w:r>
      <w:r w:rsidR="00282BFD">
        <w:t xml:space="preserve"> refers </w:t>
      </w:r>
      <w:r w:rsidR="00282BFD" w:rsidRPr="00213448">
        <w:t xml:space="preserve">to </w:t>
      </w:r>
      <w:r w:rsidR="00282BFD">
        <w:t>the process of matching</w:t>
      </w:r>
      <w:r w:rsidR="00282BFD" w:rsidRPr="00213448">
        <w:t xml:space="preserve"> </w:t>
      </w:r>
      <w:r w:rsidR="00282BFD">
        <w:t>records</w:t>
      </w:r>
      <w:r w:rsidR="00282BFD" w:rsidRPr="00213448">
        <w:t xml:space="preserve"> </w:t>
      </w:r>
      <w:r w:rsidR="00927EF2">
        <w:t>on</w:t>
      </w:r>
      <w:r w:rsidR="00282BFD" w:rsidRPr="00213448">
        <w:t xml:space="preserve"> the </w:t>
      </w:r>
      <w:r w:rsidR="00282BFD" w:rsidRPr="00B322D8">
        <w:t xml:space="preserve">same </w:t>
      </w:r>
      <w:r w:rsidR="00282BFD" w:rsidRPr="00213448">
        <w:t>person</w:t>
      </w:r>
      <w:r w:rsidR="00BC7B5A" w:rsidRPr="00BC7B5A">
        <w:t xml:space="preserve"> </w:t>
      </w:r>
      <w:r w:rsidR="00BC7B5A" w:rsidRPr="00213448">
        <w:t xml:space="preserve">held </w:t>
      </w:r>
      <w:r w:rsidR="00BC7B5A" w:rsidRPr="0067090A">
        <w:t>in different d</w:t>
      </w:r>
      <w:r w:rsidR="00BC7B5A" w:rsidRPr="00213448">
        <w:t>ata sources</w:t>
      </w:r>
      <w:r w:rsidR="00282BFD">
        <w:t xml:space="preserve">, </w:t>
      </w:r>
      <w:r w:rsidR="00927EF2">
        <w:t xml:space="preserve">such that </w:t>
      </w:r>
      <w:r w:rsidR="00282BFD">
        <w:t xml:space="preserve">the different sources </w:t>
      </w:r>
      <w:r w:rsidR="00927EF2">
        <w:t>are</w:t>
      </w:r>
      <w:r w:rsidR="00282BFD">
        <w:t xml:space="preserve"> combined </w:t>
      </w:r>
      <w:r w:rsidR="00927EF2">
        <w:t xml:space="preserve">to present more comprehensive </w:t>
      </w:r>
      <w:r w:rsidR="00282BFD">
        <w:t>information on individuals. With an increasing number of Australian and international research projects capitalising on the advantages of data linkage, the idea of supplementing LSAY with data from administrative collections is well worth exploring.</w:t>
      </w:r>
    </w:p>
    <w:p w:rsidR="001F1BF3" w:rsidRDefault="00BB793B" w:rsidP="00282D19">
      <w:pPr>
        <w:pStyle w:val="Text"/>
      </w:pPr>
      <w:r>
        <w:t xml:space="preserve">Another option </w:t>
      </w:r>
      <w:r w:rsidR="00A96EB1">
        <w:t>for creating</w:t>
      </w:r>
      <w:r>
        <w:t xml:space="preserve"> life-course data from existing sources is</w:t>
      </w:r>
      <w:r w:rsidR="0042387E">
        <w:t xml:space="preserve"> to </w:t>
      </w:r>
      <w:r w:rsidR="0092482C">
        <w:t xml:space="preserve">enhance </w:t>
      </w:r>
      <w:r>
        <w:t>LSAY</w:t>
      </w:r>
      <w:r w:rsidR="00282BFD" w:rsidRPr="00213448">
        <w:t xml:space="preserve"> </w:t>
      </w:r>
      <w:r w:rsidR="0092482C">
        <w:t xml:space="preserve">with information from </w:t>
      </w:r>
      <w:r w:rsidR="00282BFD" w:rsidRPr="00213448">
        <w:t>the Longitudinal Study o</w:t>
      </w:r>
      <w:r w:rsidR="00282BFD">
        <w:t>f Australian Children (LSAC)</w:t>
      </w:r>
      <w:r>
        <w:t xml:space="preserve">. While both </w:t>
      </w:r>
      <w:r w:rsidR="0092482C">
        <w:t>surveys</w:t>
      </w:r>
      <w:r w:rsidR="00282BFD">
        <w:t xml:space="preserve"> collect data on background characteristics and key life events</w:t>
      </w:r>
      <w:r w:rsidR="0092482C">
        <w:t xml:space="preserve">, they do so </w:t>
      </w:r>
      <w:r w:rsidR="00282BFD" w:rsidRPr="00213448">
        <w:t>for</w:t>
      </w:r>
      <w:r w:rsidR="00282BFD">
        <w:t xml:space="preserve"> </w:t>
      </w:r>
      <w:r w:rsidR="00282BFD" w:rsidRPr="00213448">
        <w:t xml:space="preserve">different sets of individuals </w:t>
      </w:r>
      <w:r w:rsidR="00282BFD">
        <w:t xml:space="preserve">and across different age groups. </w:t>
      </w:r>
      <w:r>
        <w:t xml:space="preserve">LSAY could be complemented with information from </w:t>
      </w:r>
      <w:r w:rsidR="0004361E">
        <w:t xml:space="preserve">the Longitudinal Study of Australian Children </w:t>
      </w:r>
      <w:r w:rsidR="0042387E" w:rsidRPr="00244F97">
        <w:t>via ‘statistical matching’</w:t>
      </w:r>
      <w:r w:rsidR="002E49E5">
        <w:t xml:space="preserve">, whereby </w:t>
      </w:r>
      <w:r w:rsidR="00282BFD">
        <w:t xml:space="preserve">individuals </w:t>
      </w:r>
      <w:r w:rsidR="002E49E5">
        <w:t xml:space="preserve">from both surveys </w:t>
      </w:r>
      <w:r w:rsidR="0042387E" w:rsidRPr="00244F97">
        <w:t xml:space="preserve">who are statistically equivalent on a number of key </w:t>
      </w:r>
      <w:r w:rsidR="002B652C">
        <w:t xml:space="preserve">background </w:t>
      </w:r>
      <w:r w:rsidR="0042387E" w:rsidRPr="00244F97">
        <w:t>characteristics</w:t>
      </w:r>
      <w:r w:rsidR="00282BFD">
        <w:t xml:space="preserve"> are merged into a</w:t>
      </w:r>
      <w:r w:rsidR="00282BFD" w:rsidRPr="00244F97">
        <w:t xml:space="preserve"> fictitious individual</w:t>
      </w:r>
      <w:r w:rsidR="002B652C">
        <w:t xml:space="preserve"> to observe the impact of socio-demographic attributes and key interventions on transition outcomes over time</w:t>
      </w:r>
      <w:r w:rsidR="0042387E" w:rsidRPr="00244F97">
        <w:t>.</w:t>
      </w:r>
    </w:p>
    <w:p w:rsidR="0042387E" w:rsidRDefault="00BB793B" w:rsidP="00282D19">
      <w:pPr>
        <w:pStyle w:val="Text"/>
      </w:pPr>
      <w:r>
        <w:t>T</w:t>
      </w:r>
      <w:r w:rsidR="00E461EF">
        <w:t xml:space="preserve">he purpose of this </w:t>
      </w:r>
      <w:r>
        <w:t xml:space="preserve">discussion paper is to evaluate the feasibility of both </w:t>
      </w:r>
      <w:r w:rsidR="00D94D11">
        <w:t>approaches</w:t>
      </w:r>
      <w:r w:rsidR="00282BFD">
        <w:t xml:space="preserve">. </w:t>
      </w:r>
      <w:r w:rsidR="00757BE7">
        <w:t xml:space="preserve">In the </w:t>
      </w:r>
      <w:r w:rsidR="00282BFD">
        <w:t xml:space="preserve">first </w:t>
      </w:r>
      <w:r w:rsidR="00757BE7">
        <w:t xml:space="preserve">part of the report, </w:t>
      </w:r>
      <w:r w:rsidR="00282BFD">
        <w:t>the potential for enhancing</w:t>
      </w:r>
      <w:r w:rsidR="00E461EF">
        <w:t xml:space="preserve"> LSAY with </w:t>
      </w:r>
      <w:r w:rsidR="00282BFD">
        <w:t xml:space="preserve">information from </w:t>
      </w:r>
      <w:r w:rsidR="00E461EF">
        <w:t>administrative collecti</w:t>
      </w:r>
      <w:r w:rsidR="00282BFD">
        <w:t xml:space="preserve">ons through data linkage </w:t>
      </w:r>
      <w:r w:rsidR="00757BE7">
        <w:t>is investigated. The second part explores the viability</w:t>
      </w:r>
      <w:r w:rsidR="00E461EF">
        <w:t xml:space="preserve"> of combining </w:t>
      </w:r>
      <w:r w:rsidR="002E49E5">
        <w:t xml:space="preserve">relevant </w:t>
      </w:r>
      <w:r w:rsidR="00E461EF">
        <w:t xml:space="preserve">data from LSAY and </w:t>
      </w:r>
      <w:r w:rsidR="0004361E">
        <w:t>the Longitudinal Study of Australian Children</w:t>
      </w:r>
      <w:r w:rsidR="00BC7B5A">
        <w:t xml:space="preserve"> </w:t>
      </w:r>
      <w:r w:rsidR="00E461EF">
        <w:t>via statistical matching.</w:t>
      </w:r>
    </w:p>
    <w:p w:rsidR="00F85DAD" w:rsidRDefault="00F85DAD" w:rsidP="00282D19">
      <w:pPr>
        <w:pStyle w:val="Text"/>
      </w:pPr>
      <w:r>
        <w:t>When exploring the possibilities of data linkage with LSAY it is necessary to conside</w:t>
      </w:r>
      <w:r w:rsidR="00603214">
        <w:t>r the challenges inherent in</w:t>
      </w:r>
      <w:r>
        <w:t xml:space="preserve"> the process. These challenges revolve around te</w:t>
      </w:r>
      <w:r w:rsidR="00603214">
        <w:t>chnical issues, cost, and</w:t>
      </w:r>
      <w:r>
        <w:t xml:space="preserve"> legal/ethics considerations. The latter generally </w:t>
      </w:r>
      <w:r w:rsidR="002E49E5">
        <w:t>represent</w:t>
      </w:r>
      <w:r w:rsidR="00603214">
        <w:t xml:space="preserve"> the largest obstacle</w:t>
      </w:r>
      <w:r w:rsidR="003E710C">
        <w:t>,</w:t>
      </w:r>
      <w:r>
        <w:t xml:space="preserve"> given that legal consent needs to be sought from LSAY respondents (and possibly their parents or legal guardians) in order to proceed with any f</w:t>
      </w:r>
      <w:r w:rsidR="00603214">
        <w:t>orm of data linkage. P</w:t>
      </w:r>
      <w:r>
        <w:t xml:space="preserve">rivacy regulations </w:t>
      </w:r>
      <w:r w:rsidR="00603214">
        <w:t xml:space="preserve">further </w:t>
      </w:r>
      <w:r>
        <w:t xml:space="preserve">require </w:t>
      </w:r>
      <w:r w:rsidR="002E49E5">
        <w:t xml:space="preserve">that </w:t>
      </w:r>
      <w:r>
        <w:t xml:space="preserve">specific protocols </w:t>
      </w:r>
      <w:r w:rsidR="002E49E5">
        <w:t xml:space="preserve">be followed to </w:t>
      </w:r>
      <w:r>
        <w:t>ensure the protection of privacy</w:t>
      </w:r>
      <w:r w:rsidR="002E49E5">
        <w:t xml:space="preserve"> and confidentiality</w:t>
      </w:r>
      <w:r>
        <w:t>. These regulations include the de-identification of linked data, use of an independent agency as data custodian and integrating authority, and secure s</w:t>
      </w:r>
      <w:r w:rsidR="00812280">
        <w:t>torage of linked data. The cost</w:t>
      </w:r>
      <w:r w:rsidR="002E49E5">
        <w:t>s</w:t>
      </w:r>
      <w:r>
        <w:t xml:space="preserve"> associated w</w:t>
      </w:r>
      <w:r w:rsidR="00812280">
        <w:t>ith observing privacy regulations</w:t>
      </w:r>
      <w:r w:rsidR="00603214">
        <w:t xml:space="preserve"> </w:t>
      </w:r>
      <w:r w:rsidR="008A4DF2">
        <w:t>would likely be offset by</w:t>
      </w:r>
      <w:r>
        <w:t xml:space="preserve"> the advantages data linkage </w:t>
      </w:r>
      <w:r w:rsidR="00812280">
        <w:t>can bring</w:t>
      </w:r>
      <w:r>
        <w:t xml:space="preserve"> to LSAY</w:t>
      </w:r>
      <w:r w:rsidR="00861B61">
        <w:t>;</w:t>
      </w:r>
      <w:r>
        <w:t xml:space="preserve"> namely</w:t>
      </w:r>
      <w:r w:rsidR="003E710C">
        <w:t>,</w:t>
      </w:r>
      <w:r>
        <w:t xml:space="preserve"> broadening the scope of the questionnaire </w:t>
      </w:r>
      <w:r w:rsidR="00603214">
        <w:t>without increasing</w:t>
      </w:r>
      <w:r>
        <w:t xml:space="preserve"> respondent burden.</w:t>
      </w:r>
      <w:r w:rsidR="008A4DF2">
        <w:t xml:space="preserve"> Existing questions could also be supplemented with administrative data, allo</w:t>
      </w:r>
      <w:r w:rsidR="00D94D11">
        <w:t xml:space="preserve">wing scope for </w:t>
      </w:r>
      <w:r w:rsidR="008A4DF2">
        <w:t>new questions.</w:t>
      </w:r>
    </w:p>
    <w:p w:rsidR="00326D3D" w:rsidRDefault="00326D3D" w:rsidP="00282D19">
      <w:pPr>
        <w:pStyle w:val="Text"/>
      </w:pPr>
      <w:r>
        <w:br w:type="page"/>
      </w:r>
    </w:p>
    <w:p w:rsidR="00624BCE" w:rsidRDefault="0048319D" w:rsidP="00282D19">
      <w:pPr>
        <w:pStyle w:val="Text"/>
      </w:pPr>
      <w:r>
        <w:lastRenderedPageBreak/>
        <w:t xml:space="preserve">The specific administrative data sources considered </w:t>
      </w:r>
      <w:r w:rsidR="00176A0D">
        <w:t>for linkage with LSAY</w:t>
      </w:r>
      <w:r>
        <w:t xml:space="preserve"> </w:t>
      </w:r>
      <w:r w:rsidR="00812280">
        <w:t xml:space="preserve">in this discussion paper </w:t>
      </w:r>
      <w:r w:rsidR="00BC7B5A">
        <w:t>are the</w:t>
      </w:r>
      <w:r>
        <w:t xml:space="preserve"> </w:t>
      </w:r>
      <w:r w:rsidR="00BC7B5A">
        <w:t>National Assessment Program — Literacy and Numeracy</w:t>
      </w:r>
      <w:r>
        <w:t xml:space="preserve">, Medicare Australia, </w:t>
      </w:r>
      <w:r w:rsidR="003E710C">
        <w:t xml:space="preserve">the </w:t>
      </w:r>
      <w:r w:rsidR="00B66B2B">
        <w:t>Department of Human Services (</w:t>
      </w:r>
      <w:proofErr w:type="spellStart"/>
      <w:r>
        <w:t>Centrelink</w:t>
      </w:r>
      <w:proofErr w:type="spellEnd"/>
      <w:r w:rsidR="00B66B2B">
        <w:t>)</w:t>
      </w:r>
      <w:r>
        <w:t>, the Higher Educat</w:t>
      </w:r>
      <w:r w:rsidR="00603214">
        <w:t>ion Statistics Collection, the N</w:t>
      </w:r>
      <w:r>
        <w:t>ational VET Provider Collection and the Australian Census.</w:t>
      </w:r>
      <w:r w:rsidR="009A2717">
        <w:t xml:space="preserve"> While all six collections c</w:t>
      </w:r>
      <w:r w:rsidR="00176A0D">
        <w:t>ould add con</w:t>
      </w:r>
      <w:r w:rsidR="00603214">
        <w:t>siderable value to LSAY</w:t>
      </w:r>
      <w:r w:rsidR="00176A0D">
        <w:t xml:space="preserve">, the largest </w:t>
      </w:r>
      <w:r w:rsidR="00C31D6E">
        <w:t xml:space="preserve">initial </w:t>
      </w:r>
      <w:r w:rsidR="009A2717">
        <w:t>benefit w</w:t>
      </w:r>
      <w:r w:rsidR="00176A0D">
        <w:t xml:space="preserve">ould be derived from linking </w:t>
      </w:r>
      <w:r w:rsidR="00BC7B5A">
        <w:t xml:space="preserve">the National Assessment Program — Literacy and Numeracy </w:t>
      </w:r>
      <w:r w:rsidR="00176A0D">
        <w:t>and Medicare da</w:t>
      </w:r>
      <w:r w:rsidR="00C31D6E">
        <w:t>ta to LSAY</w:t>
      </w:r>
      <w:r w:rsidR="00176A0D">
        <w:t xml:space="preserve">. </w:t>
      </w:r>
      <w:proofErr w:type="spellStart"/>
      <w:r w:rsidR="00176A0D">
        <w:t>Centrelink</w:t>
      </w:r>
      <w:proofErr w:type="spellEnd"/>
      <w:r w:rsidR="00176A0D">
        <w:t xml:space="preserve"> data could </w:t>
      </w:r>
      <w:r w:rsidR="00427F48">
        <w:t xml:space="preserve">then </w:t>
      </w:r>
      <w:r w:rsidR="00176A0D">
        <w:t xml:space="preserve">be linked </w:t>
      </w:r>
      <w:r w:rsidR="00AA3C87">
        <w:t xml:space="preserve">in a second step </w:t>
      </w:r>
      <w:r w:rsidR="00176A0D">
        <w:t>to furth</w:t>
      </w:r>
      <w:r w:rsidR="00427F48">
        <w:t>er enhance the breadth</w:t>
      </w:r>
      <w:r w:rsidR="00176A0D">
        <w:t xml:space="preserve"> </w:t>
      </w:r>
      <w:r w:rsidR="00D94D11">
        <w:t xml:space="preserve">and depth </w:t>
      </w:r>
      <w:r w:rsidR="00176A0D">
        <w:t>of LSAY.</w:t>
      </w:r>
    </w:p>
    <w:p w:rsidR="00C645B7" w:rsidRDefault="003E710C" w:rsidP="00282D19">
      <w:pPr>
        <w:pStyle w:val="Text"/>
      </w:pPr>
      <w:r>
        <w:t xml:space="preserve">The </w:t>
      </w:r>
      <w:r w:rsidRPr="00213448">
        <w:t>Longitudinal Study o</w:t>
      </w:r>
      <w:r>
        <w:t>f Australian Children</w:t>
      </w:r>
      <w:r w:rsidR="00C645B7">
        <w:t xml:space="preserve"> provides valuable data on early childhood development (among a host of other relevant information), whereas </w:t>
      </w:r>
      <w:r>
        <w:t>the Longitudinal Surveys of Australian Youth focus</w:t>
      </w:r>
      <w:r w:rsidR="00C645B7">
        <w:t xml:space="preserve"> on the transition experience from 15 </w:t>
      </w:r>
      <w:r>
        <w:t xml:space="preserve">years of age </w:t>
      </w:r>
      <w:r w:rsidR="00C645B7">
        <w:t xml:space="preserve">onwards. </w:t>
      </w:r>
      <w:r w:rsidR="0092482C">
        <w:t>If it were feasible to combine</w:t>
      </w:r>
      <w:r w:rsidR="00C645B7">
        <w:t xml:space="preserve"> r</w:t>
      </w:r>
      <w:r w:rsidR="0092482C">
        <w:t xml:space="preserve">elevant information from </w:t>
      </w:r>
      <w:r w:rsidR="0004361E">
        <w:t>the Longitudinal Study of Australian Children</w:t>
      </w:r>
      <w:r w:rsidR="00BC7B5A">
        <w:t xml:space="preserve"> </w:t>
      </w:r>
      <w:r w:rsidR="0092482C">
        <w:t>and</w:t>
      </w:r>
      <w:r w:rsidR="00C645B7">
        <w:t xml:space="preserve"> LSAY, researchers would be able to analyse a powerful dataset that captures aspects of a person’s developmental trajectory from birth up to about 25 years of age.</w:t>
      </w:r>
    </w:p>
    <w:p w:rsidR="0092482C" w:rsidRPr="0092482C" w:rsidRDefault="0092482C" w:rsidP="00282D19">
      <w:pPr>
        <w:pStyle w:val="Text"/>
      </w:pPr>
      <w:r>
        <w:t xml:space="preserve">Given that LSAY and </w:t>
      </w:r>
      <w:r w:rsidR="0004361E">
        <w:t>the Longitudinal Study of Australian Children</w:t>
      </w:r>
      <w:r w:rsidR="00BC7B5A">
        <w:t xml:space="preserve"> </w:t>
      </w:r>
      <w:r w:rsidRPr="00213448">
        <w:t>do</w:t>
      </w:r>
      <w:r w:rsidRPr="0092482C">
        <w:t xml:space="preserve"> not c</w:t>
      </w:r>
      <w:r w:rsidRPr="00213448">
        <w:t>ontain the same individuals</w:t>
      </w:r>
      <w:r>
        <w:t xml:space="preserve">, a method known as </w:t>
      </w:r>
      <w:r w:rsidR="003F748E">
        <w:t>‘</w:t>
      </w:r>
      <w:r>
        <w:t>statistical matching</w:t>
      </w:r>
      <w:r w:rsidR="003F748E">
        <w:t>’</w:t>
      </w:r>
      <w:r>
        <w:t xml:space="preserve"> would have to be employed to combine both surveys.</w:t>
      </w:r>
      <w:r w:rsidR="00D94D11">
        <w:t xml:space="preserve"> Statistical matching combines </w:t>
      </w:r>
      <w:r w:rsidR="0017129B">
        <w:t>records of individuals</w:t>
      </w:r>
      <w:r>
        <w:t xml:space="preserve"> </w:t>
      </w:r>
      <w:r w:rsidR="00861B61">
        <w:t>who</w:t>
      </w:r>
      <w:r>
        <w:t xml:space="preserve"> are statistically simil</w:t>
      </w:r>
      <w:r w:rsidR="00D94D11">
        <w:t xml:space="preserve">ar on key characteristics </w:t>
      </w:r>
      <w:r w:rsidR="0017129B">
        <w:t xml:space="preserve">and </w:t>
      </w:r>
      <w:r w:rsidR="003E710C">
        <w:t>which</w:t>
      </w:r>
      <w:r>
        <w:t xml:space="preserve"> are </w:t>
      </w:r>
      <w:r w:rsidR="0017129B">
        <w:t xml:space="preserve">available </w:t>
      </w:r>
      <w:r>
        <w:t xml:space="preserve">in both datasets. From a conceptual perspective, it is important to understand that combining LSAC data with LSAY via statistical matching would </w:t>
      </w:r>
      <w:r w:rsidRPr="0092482C">
        <w:t>result in a synthetic dataset</w:t>
      </w:r>
      <w:r w:rsidR="003E710C">
        <w:t>,</w:t>
      </w:r>
      <w:r w:rsidRPr="0092482C">
        <w:t xml:space="preserve"> in which each matched record represents a fictitious individual who proxies the combined trajectory of two real individuals who are statistically equivalent on a number of key characteristics.</w:t>
      </w:r>
    </w:p>
    <w:p w:rsidR="0036290A" w:rsidRDefault="0092482C" w:rsidP="00282D19">
      <w:pPr>
        <w:pStyle w:val="Text"/>
      </w:pPr>
      <w:r>
        <w:t>Although statistical matching can be</w:t>
      </w:r>
      <w:r w:rsidR="003F748E">
        <w:t xml:space="preserve"> useful in certain</w:t>
      </w:r>
      <w:r>
        <w:t xml:space="preserve"> situations, </w:t>
      </w:r>
      <w:r w:rsidR="009E33B6">
        <w:t>this repor</w:t>
      </w:r>
      <w:r w:rsidR="003F748E">
        <w:t>t concludes that it is not advisable</w:t>
      </w:r>
      <w:r w:rsidR="009E33B6">
        <w:t xml:space="preserve"> </w:t>
      </w:r>
      <w:r>
        <w:t xml:space="preserve">to combine information from LSAY and </w:t>
      </w:r>
      <w:r w:rsidR="0004361E">
        <w:t>the Longitudinal Study of Australian Children</w:t>
      </w:r>
      <w:r w:rsidR="00BC7B5A">
        <w:t xml:space="preserve"> </w:t>
      </w:r>
      <w:r>
        <w:t xml:space="preserve">into a synthetic dataset </w:t>
      </w:r>
      <w:r w:rsidR="009E33B6">
        <w:t xml:space="preserve">for further analysis. </w:t>
      </w:r>
      <w:r w:rsidR="0036290A">
        <w:t xml:space="preserve">A statistical match between LSAY and </w:t>
      </w:r>
      <w:r w:rsidR="0004361E">
        <w:t>the Longitudinal Study of Australian Children</w:t>
      </w:r>
      <w:r w:rsidR="00BC7B5A">
        <w:t xml:space="preserve"> </w:t>
      </w:r>
      <w:r w:rsidR="0036290A">
        <w:t xml:space="preserve">is an interesting empirical exercise, yet the methodological obstacles are such that any results from </w:t>
      </w:r>
      <w:r w:rsidR="003E710C">
        <w:t xml:space="preserve">an </w:t>
      </w:r>
      <w:r w:rsidR="00874E44">
        <w:t>analysis of</w:t>
      </w:r>
      <w:r w:rsidR="0036290A">
        <w:t xml:space="preserve"> a matched </w:t>
      </w:r>
      <w:r w:rsidR="0004361E">
        <w:t>Longitudinal Study of Australian Children</w:t>
      </w:r>
      <w:r w:rsidR="00861B61">
        <w:t>—</w:t>
      </w:r>
      <w:r w:rsidR="0036290A">
        <w:t xml:space="preserve">LSAY dataset would lack the </w:t>
      </w:r>
      <w:r w:rsidR="000B75CB">
        <w:t>necessary robustness</w:t>
      </w:r>
      <w:r w:rsidR="0036290A">
        <w:t xml:space="preserve"> to inform policy and practice in meaningful ways.</w:t>
      </w:r>
    </w:p>
    <w:p w:rsidR="00624BCE" w:rsidRDefault="0036290A" w:rsidP="00282D19">
      <w:pPr>
        <w:pStyle w:val="Text"/>
      </w:pPr>
      <w:r>
        <w:t xml:space="preserve">The overall conclusion from this discussion paper is that strong consideration should be given to concrete plans for linking administrative collections to LSAY, </w:t>
      </w:r>
      <w:r w:rsidR="00874E44">
        <w:t>beginning</w:t>
      </w:r>
      <w:r>
        <w:t xml:space="preserve"> with </w:t>
      </w:r>
      <w:r w:rsidR="00BC7B5A">
        <w:t xml:space="preserve">the National Assessment Program — Literacy and Numeracy </w:t>
      </w:r>
      <w:r>
        <w:t>and Medicare data. Once a process for data linkage has been developed for LSAY, linking with</w:t>
      </w:r>
      <w:r w:rsidR="009A2717">
        <w:t xml:space="preserve"> either </w:t>
      </w:r>
      <w:proofErr w:type="spellStart"/>
      <w:r w:rsidR="009A2717">
        <w:t>Centrelink</w:t>
      </w:r>
      <w:proofErr w:type="spellEnd"/>
      <w:r w:rsidR="009A2717">
        <w:t xml:space="preserve"> data or the Australian Census</w:t>
      </w:r>
      <w:r>
        <w:t xml:space="preserve"> c</w:t>
      </w:r>
      <w:r w:rsidR="00861B61">
        <w:t>ould</w:t>
      </w:r>
      <w:r>
        <w:t xml:space="preserve"> be investigated</w:t>
      </w:r>
      <w:r w:rsidR="00861B61">
        <w:t>,</w:t>
      </w:r>
      <w:r>
        <w:t xml:space="preserve"> based on </w:t>
      </w:r>
      <w:r w:rsidR="009A2717">
        <w:t xml:space="preserve">a </w:t>
      </w:r>
      <w:r w:rsidR="004502A3">
        <w:t>detailed</w:t>
      </w:r>
      <w:r w:rsidR="00874E44">
        <w:t xml:space="preserve"> cost—</w:t>
      </w:r>
      <w:r w:rsidR="009A2717">
        <w:t>benefit analysis</w:t>
      </w:r>
      <w:r>
        <w:t>.</w:t>
      </w:r>
    </w:p>
    <w:p w:rsidR="00624BCE" w:rsidRPr="00213448" w:rsidRDefault="00624BCE" w:rsidP="0022141E">
      <w:pPr>
        <w:pStyle w:val="Text"/>
      </w:pPr>
    </w:p>
    <w:p w:rsidR="009E231A" w:rsidRPr="00213448" w:rsidRDefault="00FE4A2D" w:rsidP="008C0A74">
      <w:pPr>
        <w:pStyle w:val="Heading1"/>
      </w:pPr>
      <w:r w:rsidRPr="00213448">
        <w:br w:type="page"/>
      </w:r>
      <w:bookmarkStart w:id="39" w:name="_Toc358811260"/>
      <w:r w:rsidR="009C2ACB" w:rsidRPr="00213448">
        <w:lastRenderedPageBreak/>
        <w:t>Introduction</w:t>
      </w:r>
      <w:bookmarkEnd w:id="39"/>
    </w:p>
    <w:p w:rsidR="00716DEB" w:rsidRPr="00282D19" w:rsidRDefault="001A00A2" w:rsidP="00282D19">
      <w:pPr>
        <w:pStyle w:val="Text"/>
      </w:pPr>
      <w:r w:rsidRPr="00213448">
        <w:t>Recent evalua</w:t>
      </w:r>
      <w:r w:rsidR="00661561" w:rsidRPr="00213448">
        <w:t xml:space="preserve">tions of </w:t>
      </w:r>
      <w:r w:rsidR="009B6C09">
        <w:t xml:space="preserve">the </w:t>
      </w:r>
      <w:r w:rsidR="00661561" w:rsidRPr="00213448">
        <w:t>L</w:t>
      </w:r>
      <w:r w:rsidR="009B6C09">
        <w:t xml:space="preserve">ongitudinal </w:t>
      </w:r>
      <w:r w:rsidR="00661561" w:rsidRPr="00213448">
        <w:t>S</w:t>
      </w:r>
      <w:r w:rsidR="009B6C09">
        <w:t xml:space="preserve">urveys of </w:t>
      </w:r>
      <w:r w:rsidR="00661561" w:rsidRPr="00213448">
        <w:t>A</w:t>
      </w:r>
      <w:r w:rsidR="009B6C09">
        <w:t xml:space="preserve">ustralian </w:t>
      </w:r>
      <w:r w:rsidR="00661561" w:rsidRPr="00213448">
        <w:t>Y</w:t>
      </w:r>
      <w:r w:rsidR="009B6C09">
        <w:t>outh (LSAY)</w:t>
      </w:r>
      <w:r w:rsidR="00202424" w:rsidRPr="00213448">
        <w:t xml:space="preserve"> have</w:t>
      </w:r>
      <w:r w:rsidRPr="00213448">
        <w:t xml:space="preserve"> recommended investi</w:t>
      </w:r>
      <w:r w:rsidR="007E3185" w:rsidRPr="00213448">
        <w:t>gating the potential for combining</w:t>
      </w:r>
      <w:r w:rsidRPr="00213448">
        <w:t xml:space="preserve"> LSAY data </w:t>
      </w:r>
      <w:r w:rsidR="00EC6755" w:rsidRPr="00213448">
        <w:t>with</w:t>
      </w:r>
      <w:r w:rsidR="00045EC1">
        <w:t xml:space="preserve"> </w:t>
      </w:r>
      <w:r w:rsidR="00E04B90">
        <w:t>external</w:t>
      </w:r>
      <w:r w:rsidR="00045EC1">
        <w:t xml:space="preserve"> data sources</w:t>
      </w:r>
      <w:r w:rsidRPr="00213448">
        <w:t xml:space="preserve"> as a way to improve the breadth of information </w:t>
      </w:r>
      <w:r w:rsidR="00EC6755" w:rsidRPr="00213448">
        <w:t xml:space="preserve">in </w:t>
      </w:r>
      <w:r w:rsidR="004F362B">
        <w:t>the survey without adding</w:t>
      </w:r>
      <w:r w:rsidR="00202424" w:rsidRPr="00213448">
        <w:t xml:space="preserve"> </w:t>
      </w:r>
      <w:r w:rsidRPr="00213448">
        <w:t>respondent burden. T</w:t>
      </w:r>
      <w:r w:rsidR="00874E44">
        <w:t xml:space="preserve">he </w:t>
      </w:r>
      <w:proofErr w:type="spellStart"/>
      <w:r w:rsidR="00874E44">
        <w:t>stock</w:t>
      </w:r>
      <w:r w:rsidR="00EC6755" w:rsidRPr="00213448">
        <w:t>take</w:t>
      </w:r>
      <w:proofErr w:type="spellEnd"/>
      <w:r w:rsidR="00EC6755" w:rsidRPr="00213448">
        <w:t xml:space="preserve"> report on LSAY</w:t>
      </w:r>
      <w:r w:rsidRPr="00213448">
        <w:t xml:space="preserve"> (Nguyen et al</w:t>
      </w:r>
      <w:r w:rsidR="00A02DDF" w:rsidRPr="00213448">
        <w:t>.</w:t>
      </w:r>
      <w:r w:rsidRPr="00213448">
        <w:t xml:space="preserve"> 2010) identifie</w:t>
      </w:r>
      <w:r w:rsidR="001103C6">
        <w:t xml:space="preserve">d the potential of linking </w:t>
      </w:r>
      <w:r w:rsidR="00EC6755" w:rsidRPr="00213448">
        <w:t xml:space="preserve">administrative </w:t>
      </w:r>
      <w:r w:rsidR="001103C6">
        <w:t>collections to LSAY</w:t>
      </w:r>
      <w:r w:rsidRPr="00213448">
        <w:t xml:space="preserve"> as a strategy to improve da</w:t>
      </w:r>
      <w:r w:rsidR="00913126">
        <w:t xml:space="preserve">ta quality, as well as </w:t>
      </w:r>
      <w:r w:rsidR="00E04B90">
        <w:t xml:space="preserve">to </w:t>
      </w:r>
      <w:r w:rsidR="00913126">
        <w:t>provide</w:t>
      </w:r>
      <w:r w:rsidRPr="00213448">
        <w:t xml:space="preserve"> more comprehensive information on </w:t>
      </w:r>
      <w:r w:rsidR="00EC6755" w:rsidRPr="00213448">
        <w:t xml:space="preserve">respondents’ </w:t>
      </w:r>
      <w:r w:rsidRPr="00213448">
        <w:t xml:space="preserve">family background and health. </w:t>
      </w:r>
      <w:r w:rsidR="00874E44">
        <w:t>A r</w:t>
      </w:r>
      <w:r w:rsidR="00BA0EE8">
        <w:t>ecent</w:t>
      </w:r>
      <w:r w:rsidRPr="00213448">
        <w:t xml:space="preserve"> </w:t>
      </w:r>
      <w:r w:rsidR="001A4280">
        <w:t>review of</w:t>
      </w:r>
      <w:r w:rsidRPr="00213448">
        <w:t xml:space="preserve"> the LSAY program also recommended </w:t>
      </w:r>
      <w:r w:rsidR="009C1D9C">
        <w:t xml:space="preserve">potentially </w:t>
      </w:r>
      <w:r w:rsidRPr="00213448">
        <w:t xml:space="preserve">linking LSAY with </w:t>
      </w:r>
      <w:r w:rsidR="009C1D9C">
        <w:t xml:space="preserve">appropriate </w:t>
      </w:r>
      <w:r w:rsidRPr="00213448">
        <w:t>adminis</w:t>
      </w:r>
      <w:r w:rsidR="009C1D9C">
        <w:t>trative datasets</w:t>
      </w:r>
      <w:r w:rsidR="001A4280">
        <w:t xml:space="preserve"> (</w:t>
      </w:r>
      <w:r w:rsidR="00874E44">
        <w:t>for example,</w:t>
      </w:r>
      <w:r w:rsidR="001A4280">
        <w:t xml:space="preserve"> </w:t>
      </w:r>
      <w:r w:rsidR="00DE4CA6">
        <w:t>the National Assessment P</w:t>
      </w:r>
      <w:r w:rsidR="00874E44">
        <w:t>rogram —</w:t>
      </w:r>
      <w:r w:rsidR="001A4280">
        <w:t xml:space="preserve"> Literacy and Numeracy [</w:t>
      </w:r>
      <w:r w:rsidR="00031FFD">
        <w:t>NAPLAN</w:t>
      </w:r>
      <w:r w:rsidR="001A4280">
        <w:t>]</w:t>
      </w:r>
      <w:r w:rsidR="00DE4CA6">
        <w:t>)</w:t>
      </w:r>
      <w:r w:rsidR="001A4280">
        <w:t xml:space="preserve"> and</w:t>
      </w:r>
      <w:r w:rsidR="001A42DF">
        <w:t xml:space="preserve"> </w:t>
      </w:r>
      <w:r w:rsidR="001A4280">
        <w:t>discussed conducting</w:t>
      </w:r>
      <w:r w:rsidRPr="00213448">
        <w:t xml:space="preserve"> </w:t>
      </w:r>
      <w:r w:rsidR="007E3185" w:rsidRPr="00213448">
        <w:t>an investigation into the feasibility of</w:t>
      </w:r>
      <w:r w:rsidRPr="00213448">
        <w:t xml:space="preserve"> </w:t>
      </w:r>
      <w:r w:rsidR="00EC6755" w:rsidRPr="00213448">
        <w:t>combining LSAY with</w:t>
      </w:r>
      <w:r w:rsidRPr="00213448">
        <w:t xml:space="preserve"> data from the Longitudinal Study of Australian Children (LSAC) as a strategy </w:t>
      </w:r>
      <w:r w:rsidR="00874E44">
        <w:t>for investigating</w:t>
      </w:r>
      <w:r w:rsidRPr="00213448">
        <w:t xml:space="preserve"> </w:t>
      </w:r>
      <w:r w:rsidRPr="00282D19">
        <w:t>ea</w:t>
      </w:r>
      <w:r w:rsidR="00E04B90" w:rsidRPr="00282D19">
        <w:t>rly childhood development and</w:t>
      </w:r>
      <w:r w:rsidRPr="00282D19">
        <w:t xml:space="preserve"> experiences </w:t>
      </w:r>
      <w:r w:rsidR="00861B61">
        <w:t>during</w:t>
      </w:r>
      <w:r w:rsidR="00661561" w:rsidRPr="00282D19">
        <w:t xml:space="preserve"> the school-to-work transition.</w:t>
      </w:r>
    </w:p>
    <w:p w:rsidR="00002FEC" w:rsidRPr="00213448" w:rsidRDefault="00875CC0" w:rsidP="00282D19">
      <w:pPr>
        <w:pStyle w:val="Text"/>
      </w:pPr>
      <w:r w:rsidRPr="00282D19">
        <w:t>I</w:t>
      </w:r>
      <w:r w:rsidR="00EC6755" w:rsidRPr="00282D19">
        <w:t xml:space="preserve">n response to </w:t>
      </w:r>
      <w:r w:rsidR="00861B61">
        <w:t>this context</w:t>
      </w:r>
      <w:r w:rsidR="00EC6755" w:rsidRPr="00282D19">
        <w:t xml:space="preserve">, this paper </w:t>
      </w:r>
      <w:r w:rsidR="00697FE7" w:rsidRPr="00282D19">
        <w:t>explores</w:t>
      </w:r>
      <w:r w:rsidR="00697FE7">
        <w:t xml:space="preserve"> </w:t>
      </w:r>
      <w:r w:rsidR="00874E44">
        <w:t>two issues:</w:t>
      </w:r>
      <w:r w:rsidR="002E75DB" w:rsidRPr="00213448">
        <w:t xml:space="preserve"> the potential for </w:t>
      </w:r>
      <w:r w:rsidR="00045EC1">
        <w:t xml:space="preserve">linking </w:t>
      </w:r>
      <w:r w:rsidR="009C1D9C">
        <w:t xml:space="preserve">data </w:t>
      </w:r>
      <w:r w:rsidR="00045EC1">
        <w:t>from</w:t>
      </w:r>
      <w:r w:rsidR="009C1D9C">
        <w:t xml:space="preserve"> </w:t>
      </w:r>
      <w:r w:rsidR="002E75DB" w:rsidRPr="00213448">
        <w:t>e</w:t>
      </w:r>
      <w:r w:rsidR="009C1D9C">
        <w:t>xisting administrative collections</w:t>
      </w:r>
      <w:r w:rsidR="00045EC1">
        <w:t xml:space="preserve"> to LSAY</w:t>
      </w:r>
      <w:r w:rsidR="00874E44">
        <w:t>;</w:t>
      </w:r>
      <w:r w:rsidR="001A4280">
        <w:t xml:space="preserve"> and the feasibility</w:t>
      </w:r>
      <w:r w:rsidR="002E75DB" w:rsidRPr="00213448">
        <w:t xml:space="preserve"> of combining data from </w:t>
      </w:r>
      <w:r w:rsidR="0004361E">
        <w:t>the Longitudinal Study of Australian Children</w:t>
      </w:r>
      <w:r w:rsidR="00045EC1">
        <w:t xml:space="preserve"> and</w:t>
      </w:r>
      <w:r w:rsidR="009C1D9C">
        <w:t xml:space="preserve"> LSAY</w:t>
      </w:r>
      <w:r w:rsidR="00FA0AF8">
        <w:t>.</w:t>
      </w:r>
    </w:p>
    <w:p w:rsidR="00002FEC" w:rsidRPr="00213448" w:rsidRDefault="003D0CCB" w:rsidP="00282D19">
      <w:pPr>
        <w:pStyle w:val="Heading2"/>
      </w:pPr>
      <w:bookmarkStart w:id="40" w:name="_Toc358811261"/>
      <w:r w:rsidRPr="00282D19">
        <w:t>Background</w:t>
      </w:r>
      <w:bookmarkEnd w:id="40"/>
    </w:p>
    <w:p w:rsidR="003D0CCB" w:rsidRPr="00282D19" w:rsidRDefault="003D0CCB" w:rsidP="00282D19">
      <w:pPr>
        <w:pStyle w:val="Text"/>
      </w:pPr>
      <w:r>
        <w:t xml:space="preserve">Understanding </w:t>
      </w:r>
      <w:r w:rsidRPr="00213448">
        <w:t>youth transitions requires information on young people’s individual background characteristics and the circumstances under which they grow up. Such information includes family and commun</w:t>
      </w:r>
      <w:r w:rsidR="00BF38BD">
        <w:t>ity background, physical health and</w:t>
      </w:r>
      <w:r w:rsidRPr="00213448">
        <w:t xml:space="preserve"> psycho-social development, as well as academic achievement and the broader school environment. The ability to assemble this information into a coherent data stream from infancy through to adulthood is </w:t>
      </w:r>
      <w:r w:rsidR="00F40A28">
        <w:t>invaluable</w:t>
      </w:r>
      <w:r w:rsidRPr="00213448">
        <w:t xml:space="preserve"> for developing effective </w:t>
      </w:r>
      <w:r>
        <w:t>policy settings</w:t>
      </w:r>
      <w:r w:rsidRPr="00213448">
        <w:t>. In addition to informing policy</w:t>
      </w:r>
      <w:r w:rsidR="00D27F4B">
        <w:t>-</w:t>
      </w:r>
      <w:r w:rsidRPr="00213448">
        <w:t xml:space="preserve">makers and practitioners about </w:t>
      </w:r>
      <w:r>
        <w:t>the need for policy intervention</w:t>
      </w:r>
      <w:r w:rsidRPr="00213448">
        <w:t xml:space="preserve">, </w:t>
      </w:r>
      <w:r w:rsidR="00D27F4B">
        <w:t>such comprehensive life-</w:t>
      </w:r>
      <w:r>
        <w:t>course</w:t>
      </w:r>
      <w:r w:rsidRPr="00213448">
        <w:t xml:space="preserve"> data can shed light on the </w:t>
      </w:r>
      <w:r w:rsidRPr="00282D19">
        <w:t>question of when different interventions have the strongest positive impact on transition outcomes.</w:t>
      </w:r>
    </w:p>
    <w:p w:rsidR="00303E98" w:rsidRDefault="003D0CCB" w:rsidP="009F76E6">
      <w:pPr>
        <w:pStyle w:val="Text"/>
        <w:rPr>
          <w:rFonts w:ascii="Tahoma" w:hAnsi="Tahoma" w:cs="Tahoma"/>
          <w:sz w:val="28"/>
        </w:rPr>
      </w:pPr>
      <w:r w:rsidRPr="00282D19">
        <w:t>No single data source in Australia currently provides longitudinal data on</w:t>
      </w:r>
      <w:r w:rsidRPr="00213448">
        <w:t xml:space="preserve"> young people’s developmental trajectories from early childhood to tertiary education and entry into the labour market. Australia’s two </w:t>
      </w:r>
      <w:r>
        <w:t xml:space="preserve">child/youth </w:t>
      </w:r>
      <w:r w:rsidRPr="00213448">
        <w:t>flagship surveys, the Longitudinal Study of Australian Children and the Longitudinal Su</w:t>
      </w:r>
      <w:r w:rsidR="00D27F4B">
        <w:t>rveys of Australian Youth</w:t>
      </w:r>
      <w:r w:rsidRPr="00213448">
        <w:t>, collect detailed information on background characteristics, educational achievement and key life events for</w:t>
      </w:r>
      <w:r w:rsidR="004B4B21">
        <w:t xml:space="preserve"> </w:t>
      </w:r>
      <w:r w:rsidRPr="00213448">
        <w:t xml:space="preserve">different sets of individuals and across different age groups. Administrative collections such as </w:t>
      </w:r>
      <w:r w:rsidR="00BF38BD">
        <w:t>Medicare Australia</w:t>
      </w:r>
      <w:r>
        <w:t xml:space="preserve"> and </w:t>
      </w:r>
      <w:proofErr w:type="spellStart"/>
      <w:r>
        <w:t>Centrelink</w:t>
      </w:r>
      <w:proofErr w:type="spellEnd"/>
      <w:r w:rsidR="00D27F4B">
        <w:t>,</w:t>
      </w:r>
      <w:r w:rsidR="00B66B2B">
        <w:rPr>
          <w:rStyle w:val="FootnoteReference"/>
        </w:rPr>
        <w:footnoteReference w:id="1"/>
      </w:r>
      <w:r>
        <w:t xml:space="preserve"> or</w:t>
      </w:r>
      <w:r w:rsidR="003D3E1C">
        <w:t xml:space="preserve"> </w:t>
      </w:r>
      <w:r w:rsidR="001349F6">
        <w:t xml:space="preserve">point-in-time </w:t>
      </w:r>
      <w:r w:rsidR="003D3E1C">
        <w:t>collections such as</w:t>
      </w:r>
      <w:r>
        <w:t xml:space="preserve"> the Australian Census</w:t>
      </w:r>
      <w:r w:rsidR="00BF38BD">
        <w:t>,</w:t>
      </w:r>
      <w:r w:rsidRPr="00213448">
        <w:t xml:space="preserve"> also contain important data </w:t>
      </w:r>
      <w:r>
        <w:t xml:space="preserve">on factors </w:t>
      </w:r>
      <w:r w:rsidRPr="00213448">
        <w:t xml:space="preserve">that directly or indirectly influence young people’s </w:t>
      </w:r>
      <w:r>
        <w:t xml:space="preserve">transition </w:t>
      </w:r>
      <w:r w:rsidRPr="00213448">
        <w:t xml:space="preserve">outcomes. Combining elements of different data sources can </w:t>
      </w:r>
      <w:r w:rsidR="00F40A28">
        <w:t xml:space="preserve">potentially </w:t>
      </w:r>
      <w:r>
        <w:t>generate</w:t>
      </w:r>
      <w:r w:rsidRPr="00213448">
        <w:t xml:space="preserve"> a coherent data stream that cannot otherwise be gained from a single survey or administrative collection.</w:t>
      </w:r>
      <w:bookmarkStart w:id="41" w:name="_Toc358811262"/>
      <w:r w:rsidR="00303E98">
        <w:br w:type="page"/>
      </w:r>
    </w:p>
    <w:p w:rsidR="00C96428" w:rsidRPr="00213448" w:rsidRDefault="00C96428" w:rsidP="00BF38BD">
      <w:pPr>
        <w:pStyle w:val="Heading2"/>
      </w:pPr>
      <w:r w:rsidRPr="002C44AF">
        <w:lastRenderedPageBreak/>
        <w:t>The Longitudinal Su</w:t>
      </w:r>
      <w:r w:rsidR="00D27F4B">
        <w:t>rveys of Australian Youth</w:t>
      </w:r>
      <w:bookmarkEnd w:id="41"/>
    </w:p>
    <w:p w:rsidR="00CA7FFE" w:rsidRPr="00282D19" w:rsidRDefault="00CA7FFE" w:rsidP="00282D19">
      <w:pPr>
        <w:pStyle w:val="Text"/>
      </w:pPr>
      <w:r>
        <w:t>Managed and funded by t</w:t>
      </w:r>
      <w:r w:rsidRPr="00CA7FFE">
        <w:t>he Australian Government Department of Education, Employment</w:t>
      </w:r>
      <w:r>
        <w:t xml:space="preserve"> </w:t>
      </w:r>
      <w:r w:rsidRPr="00CA7FFE">
        <w:t>and Workplace Relat</w:t>
      </w:r>
      <w:r>
        <w:t>ions (DEEWR), LSAY</w:t>
      </w:r>
      <w:r w:rsidRPr="00CA7FFE">
        <w:t xml:space="preserve"> is a research program that tracks young people as</w:t>
      </w:r>
      <w:r w:rsidR="00492025">
        <w:t xml:space="preserve"> </w:t>
      </w:r>
      <w:r w:rsidRPr="00CA7FFE">
        <w:t xml:space="preserve">they move from school into further study, work </w:t>
      </w:r>
      <w:r w:rsidRPr="00282D19">
        <w:t>and other destinations. It uses large, nationally</w:t>
      </w:r>
      <w:r w:rsidR="00492025" w:rsidRPr="00282D19">
        <w:t xml:space="preserve"> </w:t>
      </w:r>
      <w:r w:rsidRPr="00282D19">
        <w:t>representative samples of young people to collect information about education and training, work and</w:t>
      </w:r>
      <w:r w:rsidR="00492025" w:rsidRPr="00282D19">
        <w:t xml:space="preserve"> </w:t>
      </w:r>
      <w:r w:rsidRPr="00282D19">
        <w:t>social development.</w:t>
      </w:r>
    </w:p>
    <w:p w:rsidR="00492025" w:rsidRDefault="00492025" w:rsidP="00282D19">
      <w:pPr>
        <w:pStyle w:val="Text"/>
      </w:pPr>
      <w:r w:rsidRPr="00282D19">
        <w:t>Survey participants i</w:t>
      </w:r>
      <w:r w:rsidR="000F59FD" w:rsidRPr="00282D19">
        <w:t>n the current</w:t>
      </w:r>
      <w:r w:rsidR="000F59FD">
        <w:t xml:space="preserve"> LSAY collection</w:t>
      </w:r>
      <w:r w:rsidRPr="00492025">
        <w:t xml:space="preserve"> enter the study at</w:t>
      </w:r>
      <w:r w:rsidR="000F59FD">
        <w:t xml:space="preserve"> 15 years</w:t>
      </w:r>
      <w:r w:rsidR="00E04B90">
        <w:t xml:space="preserve"> of age. I</w:t>
      </w:r>
      <w:r w:rsidRPr="00492025">
        <w:t>ndividuals are</w:t>
      </w:r>
      <w:r>
        <w:t xml:space="preserve"> </w:t>
      </w:r>
      <w:r w:rsidRPr="00492025">
        <w:t>contacted once a year for up to 12 years. Studies began in 1995 (Y95 cohort), 1998 (Y98 cohort), 2003 (Y03 cohort), 2006 (Y06</w:t>
      </w:r>
      <w:r>
        <w:t xml:space="preserve"> </w:t>
      </w:r>
      <w:r w:rsidRPr="00492025">
        <w:t>cohort) and more recently in 2009 (Y09 cohort). Over 10 000 students start out in each cohort.</w:t>
      </w:r>
      <w:r>
        <w:t xml:space="preserve"> </w:t>
      </w:r>
      <w:r w:rsidRPr="00492025">
        <w:t>Since 2003, the initial survey wave has been integrated with the Organisation for Economic Co</w:t>
      </w:r>
      <w:r w:rsidR="00861B61">
        <w:t>-</w:t>
      </w:r>
      <w:r w:rsidRPr="00492025">
        <w:t>operation</w:t>
      </w:r>
      <w:r>
        <w:t xml:space="preserve"> </w:t>
      </w:r>
      <w:r w:rsidRPr="00492025">
        <w:t>and Development</w:t>
      </w:r>
      <w:r w:rsidR="00E84058">
        <w:t>’s</w:t>
      </w:r>
      <w:r w:rsidR="006303E3">
        <w:t xml:space="preserve"> </w:t>
      </w:r>
      <w:r w:rsidR="00D27F4B">
        <w:t xml:space="preserve">(OECD) </w:t>
      </w:r>
      <w:r w:rsidR="006303E3">
        <w:t>Program</w:t>
      </w:r>
      <w:r w:rsidR="00861B61">
        <w:t>me</w:t>
      </w:r>
      <w:r w:rsidRPr="00492025">
        <w:t xml:space="preserve"> for International Student Assessment (PISA).</w:t>
      </w:r>
      <w:r w:rsidR="00B61327" w:rsidRPr="00B61327">
        <w:t xml:space="preserve"> </w:t>
      </w:r>
      <w:r w:rsidR="00065EE0">
        <w:t>Table 1</w:t>
      </w:r>
      <w:r w:rsidR="00B61327">
        <w:t xml:space="preserve"> provides a brief overview of LSAY characteristics.</w:t>
      </w:r>
    </w:p>
    <w:p w:rsidR="00B61327" w:rsidRPr="00213448" w:rsidRDefault="00B61327" w:rsidP="00B61327">
      <w:pPr>
        <w:pStyle w:val="tabletitle"/>
      </w:pPr>
      <w:bookmarkStart w:id="42" w:name="_Toc358811316"/>
      <w:r w:rsidRPr="00213448">
        <w:t xml:space="preserve">Table </w:t>
      </w:r>
      <w:r w:rsidR="00065EE0">
        <w:t>1</w:t>
      </w:r>
      <w:r>
        <w:tab/>
      </w:r>
      <w:r w:rsidR="00E84058">
        <w:t>O</w:t>
      </w:r>
      <w:r>
        <w:t>verview of LSAY</w:t>
      </w:r>
      <w:r w:rsidR="00E84058">
        <w:t xml:space="preserve"> characteristics</w:t>
      </w:r>
      <w:bookmarkEnd w:id="42"/>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1878"/>
        <w:gridCol w:w="1878"/>
        <w:gridCol w:w="1878"/>
        <w:gridCol w:w="1879"/>
      </w:tblGrid>
      <w:tr w:rsidR="00B61327" w:rsidRPr="00282D19" w:rsidTr="00282D19">
        <w:tc>
          <w:tcPr>
            <w:tcW w:w="1276" w:type="dxa"/>
            <w:tcBorders>
              <w:top w:val="single" w:sz="4" w:space="0" w:color="000000" w:themeColor="text1"/>
              <w:bottom w:val="single" w:sz="4" w:space="0" w:color="000000" w:themeColor="text1"/>
            </w:tcBorders>
          </w:tcPr>
          <w:p w:rsidR="00B61327" w:rsidRPr="00282D19" w:rsidRDefault="00B61327" w:rsidP="00282D19">
            <w:pPr>
              <w:pStyle w:val="Tablehead1"/>
            </w:pPr>
            <w:r w:rsidRPr="00282D19">
              <w:t>Cohort</w:t>
            </w:r>
          </w:p>
        </w:tc>
        <w:tc>
          <w:tcPr>
            <w:tcW w:w="1878" w:type="dxa"/>
            <w:tcBorders>
              <w:top w:val="single" w:sz="4" w:space="0" w:color="000000" w:themeColor="text1"/>
              <w:bottom w:val="single" w:sz="4" w:space="0" w:color="000000" w:themeColor="text1"/>
            </w:tcBorders>
          </w:tcPr>
          <w:p w:rsidR="00B61327" w:rsidRPr="00282D19" w:rsidRDefault="00B61327" w:rsidP="00282D19">
            <w:pPr>
              <w:pStyle w:val="Tablehead1"/>
              <w:jc w:val="center"/>
            </w:pPr>
            <w:r w:rsidRPr="00282D19">
              <w:t xml:space="preserve">Initial sample </w:t>
            </w:r>
            <w:r w:rsidR="00282D19">
              <w:br/>
            </w:r>
            <w:r w:rsidRPr="00282D19">
              <w:t>size</w:t>
            </w:r>
          </w:p>
        </w:tc>
        <w:tc>
          <w:tcPr>
            <w:tcW w:w="1878" w:type="dxa"/>
            <w:tcBorders>
              <w:top w:val="single" w:sz="4" w:space="0" w:color="000000" w:themeColor="text1"/>
              <w:bottom w:val="single" w:sz="4" w:space="0" w:color="000000" w:themeColor="text1"/>
            </w:tcBorders>
          </w:tcPr>
          <w:p w:rsidR="00B61327" w:rsidRPr="00282D19" w:rsidRDefault="00B61327" w:rsidP="00282D19">
            <w:pPr>
              <w:pStyle w:val="Tablehead1"/>
              <w:jc w:val="center"/>
            </w:pPr>
            <w:r w:rsidRPr="00282D19">
              <w:t>Survey period</w:t>
            </w:r>
          </w:p>
        </w:tc>
        <w:tc>
          <w:tcPr>
            <w:tcW w:w="1878" w:type="dxa"/>
            <w:tcBorders>
              <w:top w:val="single" w:sz="4" w:space="0" w:color="000000" w:themeColor="text1"/>
              <w:bottom w:val="single" w:sz="4" w:space="0" w:color="000000" w:themeColor="text1"/>
            </w:tcBorders>
          </w:tcPr>
          <w:p w:rsidR="00B61327" w:rsidRPr="00282D19" w:rsidRDefault="00B61327" w:rsidP="00282D19">
            <w:pPr>
              <w:pStyle w:val="Tablehead1"/>
              <w:jc w:val="center"/>
            </w:pPr>
            <w:r w:rsidRPr="00282D19">
              <w:t xml:space="preserve">Age </w:t>
            </w:r>
            <w:r w:rsidR="00E84058" w:rsidRPr="00282D19">
              <w:t>range</w:t>
            </w:r>
          </w:p>
        </w:tc>
        <w:tc>
          <w:tcPr>
            <w:tcW w:w="1879" w:type="dxa"/>
            <w:tcBorders>
              <w:top w:val="single" w:sz="4" w:space="0" w:color="000000" w:themeColor="text1"/>
              <w:bottom w:val="single" w:sz="4" w:space="0" w:color="000000" w:themeColor="text1"/>
            </w:tcBorders>
          </w:tcPr>
          <w:p w:rsidR="00B61327" w:rsidRPr="00282D19" w:rsidRDefault="00B61327" w:rsidP="00282D19">
            <w:pPr>
              <w:pStyle w:val="Tablehead1"/>
              <w:jc w:val="center"/>
            </w:pPr>
            <w:r w:rsidRPr="00282D19">
              <w:t>Age at most recent available wave</w:t>
            </w:r>
          </w:p>
        </w:tc>
      </w:tr>
      <w:tr w:rsidR="00B61327" w:rsidRPr="00282D19" w:rsidTr="00282D19">
        <w:tc>
          <w:tcPr>
            <w:tcW w:w="1276" w:type="dxa"/>
            <w:tcBorders>
              <w:top w:val="single" w:sz="4" w:space="0" w:color="000000" w:themeColor="text1"/>
            </w:tcBorders>
          </w:tcPr>
          <w:p w:rsidR="00B61327" w:rsidRPr="00282D19" w:rsidRDefault="00B61327" w:rsidP="00282D19">
            <w:pPr>
              <w:pStyle w:val="Tabletext"/>
            </w:pPr>
            <w:r w:rsidRPr="00282D19">
              <w:t>Y95</w:t>
            </w:r>
          </w:p>
        </w:tc>
        <w:tc>
          <w:tcPr>
            <w:tcW w:w="1878" w:type="dxa"/>
            <w:tcBorders>
              <w:top w:val="single" w:sz="4" w:space="0" w:color="000000" w:themeColor="text1"/>
            </w:tcBorders>
          </w:tcPr>
          <w:p w:rsidR="00B61327" w:rsidRPr="00282D19" w:rsidRDefault="00A24F33" w:rsidP="00282D19">
            <w:pPr>
              <w:pStyle w:val="Tabletext"/>
              <w:tabs>
                <w:tab w:val="decimal" w:pos="765"/>
              </w:tabs>
            </w:pPr>
            <w:r w:rsidRPr="00282D19">
              <w:t xml:space="preserve">13 </w:t>
            </w:r>
            <w:r w:rsidR="00B61327" w:rsidRPr="00282D19">
              <w:t>615</w:t>
            </w:r>
          </w:p>
        </w:tc>
        <w:tc>
          <w:tcPr>
            <w:tcW w:w="1878" w:type="dxa"/>
            <w:tcBorders>
              <w:top w:val="single" w:sz="4" w:space="0" w:color="000000" w:themeColor="text1"/>
            </w:tcBorders>
          </w:tcPr>
          <w:p w:rsidR="00B61327" w:rsidRPr="00282D19" w:rsidRDefault="00D27F4B" w:rsidP="00282D19">
            <w:pPr>
              <w:pStyle w:val="Tabletext"/>
              <w:jc w:val="center"/>
            </w:pPr>
            <w:r w:rsidRPr="00282D19">
              <w:t>1995–</w:t>
            </w:r>
            <w:r w:rsidR="00B61327" w:rsidRPr="00282D19">
              <w:t>2006</w:t>
            </w:r>
          </w:p>
        </w:tc>
        <w:tc>
          <w:tcPr>
            <w:tcW w:w="1878" w:type="dxa"/>
            <w:tcBorders>
              <w:top w:val="single" w:sz="4" w:space="0" w:color="000000" w:themeColor="text1"/>
            </w:tcBorders>
          </w:tcPr>
          <w:p w:rsidR="00B61327" w:rsidRPr="00282D19" w:rsidRDefault="00801C2C" w:rsidP="00282D19">
            <w:pPr>
              <w:pStyle w:val="Tabletext"/>
              <w:jc w:val="center"/>
            </w:pPr>
            <w:r w:rsidRPr="00282D19">
              <w:t>15–</w:t>
            </w:r>
            <w:r w:rsidR="00B61327" w:rsidRPr="00282D19">
              <w:t>25</w:t>
            </w:r>
          </w:p>
        </w:tc>
        <w:tc>
          <w:tcPr>
            <w:tcW w:w="1879" w:type="dxa"/>
            <w:tcBorders>
              <w:top w:val="single" w:sz="4" w:space="0" w:color="000000" w:themeColor="text1"/>
            </w:tcBorders>
          </w:tcPr>
          <w:p w:rsidR="00B61327" w:rsidRPr="00282D19" w:rsidRDefault="00B61327" w:rsidP="00AE016C">
            <w:pPr>
              <w:pStyle w:val="Tabletext"/>
              <w:tabs>
                <w:tab w:val="decimal" w:pos="907"/>
              </w:tabs>
            </w:pPr>
            <w:r w:rsidRPr="00282D19">
              <w:t>25</w:t>
            </w:r>
          </w:p>
        </w:tc>
      </w:tr>
      <w:tr w:rsidR="00B61327" w:rsidRPr="00282D19" w:rsidTr="00282D19">
        <w:tc>
          <w:tcPr>
            <w:tcW w:w="1276" w:type="dxa"/>
          </w:tcPr>
          <w:p w:rsidR="00B61327" w:rsidRPr="00282D19" w:rsidRDefault="00B61327" w:rsidP="00282D19">
            <w:pPr>
              <w:pStyle w:val="Tabletext"/>
            </w:pPr>
            <w:r w:rsidRPr="00282D19">
              <w:t>Y98</w:t>
            </w:r>
          </w:p>
        </w:tc>
        <w:tc>
          <w:tcPr>
            <w:tcW w:w="1878" w:type="dxa"/>
          </w:tcPr>
          <w:p w:rsidR="00B61327" w:rsidRPr="00282D19" w:rsidRDefault="00A24F33" w:rsidP="00282D19">
            <w:pPr>
              <w:pStyle w:val="Tabletext"/>
              <w:tabs>
                <w:tab w:val="decimal" w:pos="765"/>
              </w:tabs>
            </w:pPr>
            <w:r w:rsidRPr="00282D19">
              <w:t xml:space="preserve">14 </w:t>
            </w:r>
            <w:r w:rsidR="00B61327" w:rsidRPr="00282D19">
              <w:t>117</w:t>
            </w:r>
          </w:p>
        </w:tc>
        <w:tc>
          <w:tcPr>
            <w:tcW w:w="1878" w:type="dxa"/>
          </w:tcPr>
          <w:p w:rsidR="00B61327" w:rsidRPr="00282D19" w:rsidRDefault="00D27F4B" w:rsidP="00282D19">
            <w:pPr>
              <w:pStyle w:val="Tabletext"/>
              <w:jc w:val="center"/>
            </w:pPr>
            <w:r w:rsidRPr="00282D19">
              <w:t>1998–</w:t>
            </w:r>
            <w:r w:rsidR="00B61327" w:rsidRPr="00282D19">
              <w:t>2009</w:t>
            </w:r>
          </w:p>
        </w:tc>
        <w:tc>
          <w:tcPr>
            <w:tcW w:w="1878" w:type="dxa"/>
          </w:tcPr>
          <w:p w:rsidR="00B61327" w:rsidRPr="00282D19" w:rsidRDefault="00801C2C" w:rsidP="00282D19">
            <w:pPr>
              <w:pStyle w:val="Tabletext"/>
              <w:jc w:val="center"/>
            </w:pPr>
            <w:r w:rsidRPr="00282D19">
              <w:t>15–25</w:t>
            </w:r>
          </w:p>
        </w:tc>
        <w:tc>
          <w:tcPr>
            <w:tcW w:w="1879" w:type="dxa"/>
          </w:tcPr>
          <w:p w:rsidR="00B61327" w:rsidRPr="00282D19" w:rsidRDefault="00B61327" w:rsidP="00AE016C">
            <w:pPr>
              <w:pStyle w:val="Tabletext"/>
              <w:tabs>
                <w:tab w:val="decimal" w:pos="907"/>
              </w:tabs>
            </w:pPr>
            <w:r w:rsidRPr="00282D19">
              <w:t>25</w:t>
            </w:r>
          </w:p>
        </w:tc>
      </w:tr>
      <w:tr w:rsidR="00B61327" w:rsidRPr="00282D19" w:rsidTr="00282D19">
        <w:tc>
          <w:tcPr>
            <w:tcW w:w="1276" w:type="dxa"/>
          </w:tcPr>
          <w:p w:rsidR="00B61327" w:rsidRPr="00282D19" w:rsidRDefault="00B61327" w:rsidP="00282D19">
            <w:pPr>
              <w:pStyle w:val="Tabletext"/>
            </w:pPr>
            <w:r w:rsidRPr="00282D19">
              <w:t>Y03</w:t>
            </w:r>
          </w:p>
        </w:tc>
        <w:tc>
          <w:tcPr>
            <w:tcW w:w="1878" w:type="dxa"/>
          </w:tcPr>
          <w:p w:rsidR="00B61327" w:rsidRPr="00282D19" w:rsidRDefault="00A24F33" w:rsidP="00282D19">
            <w:pPr>
              <w:pStyle w:val="Tabletext"/>
              <w:tabs>
                <w:tab w:val="decimal" w:pos="765"/>
              </w:tabs>
            </w:pPr>
            <w:r w:rsidRPr="00282D19">
              <w:t xml:space="preserve">10 </w:t>
            </w:r>
            <w:r w:rsidR="00B61327" w:rsidRPr="00282D19">
              <w:t>370</w:t>
            </w:r>
          </w:p>
        </w:tc>
        <w:tc>
          <w:tcPr>
            <w:tcW w:w="1878" w:type="dxa"/>
          </w:tcPr>
          <w:p w:rsidR="00B61327" w:rsidRPr="00282D19" w:rsidRDefault="00801C2C" w:rsidP="00282D19">
            <w:pPr>
              <w:pStyle w:val="Tabletext"/>
              <w:jc w:val="center"/>
            </w:pPr>
            <w:r w:rsidRPr="00282D19">
              <w:t>2003–</w:t>
            </w:r>
            <w:r w:rsidR="00B61327" w:rsidRPr="00282D19">
              <w:t>2013</w:t>
            </w:r>
          </w:p>
        </w:tc>
        <w:tc>
          <w:tcPr>
            <w:tcW w:w="1878" w:type="dxa"/>
          </w:tcPr>
          <w:p w:rsidR="00B61327" w:rsidRPr="00282D19" w:rsidRDefault="00801C2C" w:rsidP="00282D19">
            <w:pPr>
              <w:pStyle w:val="Tabletext"/>
              <w:jc w:val="center"/>
            </w:pPr>
            <w:r w:rsidRPr="00282D19">
              <w:t>15–25</w:t>
            </w:r>
          </w:p>
        </w:tc>
        <w:tc>
          <w:tcPr>
            <w:tcW w:w="1879" w:type="dxa"/>
          </w:tcPr>
          <w:p w:rsidR="00B61327" w:rsidRPr="00282D19" w:rsidRDefault="00B61327" w:rsidP="00AE016C">
            <w:pPr>
              <w:pStyle w:val="Tabletext"/>
              <w:tabs>
                <w:tab w:val="decimal" w:pos="907"/>
              </w:tabs>
            </w:pPr>
            <w:r w:rsidRPr="00282D19">
              <w:t>22</w:t>
            </w:r>
          </w:p>
        </w:tc>
      </w:tr>
      <w:tr w:rsidR="00B61327" w:rsidRPr="00282D19" w:rsidTr="00282D19">
        <w:tc>
          <w:tcPr>
            <w:tcW w:w="1276" w:type="dxa"/>
          </w:tcPr>
          <w:p w:rsidR="00B61327" w:rsidRPr="00282D19" w:rsidRDefault="00B61327" w:rsidP="00282D19">
            <w:pPr>
              <w:pStyle w:val="Tabletext"/>
            </w:pPr>
            <w:r w:rsidRPr="00282D19">
              <w:t>Y06</w:t>
            </w:r>
          </w:p>
        </w:tc>
        <w:tc>
          <w:tcPr>
            <w:tcW w:w="1878" w:type="dxa"/>
          </w:tcPr>
          <w:p w:rsidR="00B61327" w:rsidRPr="00282D19" w:rsidRDefault="00A24F33" w:rsidP="00282D19">
            <w:pPr>
              <w:pStyle w:val="Tabletext"/>
              <w:tabs>
                <w:tab w:val="decimal" w:pos="765"/>
              </w:tabs>
            </w:pPr>
            <w:r w:rsidRPr="00282D19">
              <w:t xml:space="preserve">14 </w:t>
            </w:r>
            <w:r w:rsidR="00B61327" w:rsidRPr="00282D19">
              <w:t>710</w:t>
            </w:r>
          </w:p>
        </w:tc>
        <w:tc>
          <w:tcPr>
            <w:tcW w:w="1878" w:type="dxa"/>
          </w:tcPr>
          <w:p w:rsidR="00B61327" w:rsidRPr="00282D19" w:rsidRDefault="00801C2C" w:rsidP="00282D19">
            <w:pPr>
              <w:pStyle w:val="Tabletext"/>
              <w:jc w:val="center"/>
            </w:pPr>
            <w:r w:rsidRPr="00282D19">
              <w:t>2006–</w:t>
            </w:r>
            <w:r w:rsidR="00B61327" w:rsidRPr="00282D19">
              <w:t>201</w:t>
            </w:r>
            <w:r w:rsidR="003D3E1C" w:rsidRPr="00282D19">
              <w:t>6</w:t>
            </w:r>
          </w:p>
        </w:tc>
        <w:tc>
          <w:tcPr>
            <w:tcW w:w="1878" w:type="dxa"/>
          </w:tcPr>
          <w:p w:rsidR="00B61327" w:rsidRPr="00282D19" w:rsidRDefault="00801C2C" w:rsidP="00282D19">
            <w:pPr>
              <w:pStyle w:val="Tabletext"/>
              <w:jc w:val="center"/>
            </w:pPr>
            <w:r w:rsidRPr="00282D19">
              <w:t>15–25</w:t>
            </w:r>
          </w:p>
        </w:tc>
        <w:tc>
          <w:tcPr>
            <w:tcW w:w="1879" w:type="dxa"/>
          </w:tcPr>
          <w:p w:rsidR="00B61327" w:rsidRPr="00282D19" w:rsidRDefault="00B61327" w:rsidP="00AE016C">
            <w:pPr>
              <w:pStyle w:val="Tabletext"/>
              <w:tabs>
                <w:tab w:val="decimal" w:pos="907"/>
              </w:tabs>
            </w:pPr>
            <w:r w:rsidRPr="00282D19">
              <w:t>19</w:t>
            </w:r>
          </w:p>
        </w:tc>
      </w:tr>
      <w:tr w:rsidR="00B61327" w:rsidRPr="00282D19" w:rsidTr="00282D19">
        <w:tc>
          <w:tcPr>
            <w:tcW w:w="1276" w:type="dxa"/>
            <w:tcBorders>
              <w:bottom w:val="single" w:sz="4" w:space="0" w:color="000000" w:themeColor="text1"/>
            </w:tcBorders>
          </w:tcPr>
          <w:p w:rsidR="00B61327" w:rsidRPr="00282D19" w:rsidRDefault="00B61327" w:rsidP="00282D19">
            <w:pPr>
              <w:pStyle w:val="Tabletext"/>
            </w:pPr>
            <w:r w:rsidRPr="00282D19">
              <w:t>Y09</w:t>
            </w:r>
          </w:p>
        </w:tc>
        <w:tc>
          <w:tcPr>
            <w:tcW w:w="1878" w:type="dxa"/>
            <w:tcBorders>
              <w:bottom w:val="single" w:sz="4" w:space="0" w:color="000000" w:themeColor="text1"/>
            </w:tcBorders>
          </w:tcPr>
          <w:p w:rsidR="00B61327" w:rsidRPr="00282D19" w:rsidRDefault="00A24F33" w:rsidP="00282D19">
            <w:pPr>
              <w:pStyle w:val="Tabletext"/>
              <w:tabs>
                <w:tab w:val="decimal" w:pos="765"/>
              </w:tabs>
            </w:pPr>
            <w:r w:rsidRPr="00282D19">
              <w:t xml:space="preserve">14 </w:t>
            </w:r>
            <w:r w:rsidR="00B61327" w:rsidRPr="00282D19">
              <w:t>251</w:t>
            </w:r>
          </w:p>
        </w:tc>
        <w:tc>
          <w:tcPr>
            <w:tcW w:w="1878" w:type="dxa"/>
            <w:tcBorders>
              <w:bottom w:val="single" w:sz="4" w:space="0" w:color="000000" w:themeColor="text1"/>
            </w:tcBorders>
          </w:tcPr>
          <w:p w:rsidR="00B61327" w:rsidRPr="00282D19" w:rsidRDefault="00801C2C" w:rsidP="00282D19">
            <w:pPr>
              <w:pStyle w:val="Tabletext"/>
              <w:jc w:val="center"/>
            </w:pPr>
            <w:r w:rsidRPr="00282D19">
              <w:t>2009–</w:t>
            </w:r>
            <w:r w:rsidR="00B61327" w:rsidRPr="00282D19">
              <w:t>20</w:t>
            </w:r>
            <w:r w:rsidR="003D3E1C" w:rsidRPr="00282D19">
              <w:t>19</w:t>
            </w:r>
          </w:p>
        </w:tc>
        <w:tc>
          <w:tcPr>
            <w:tcW w:w="1878" w:type="dxa"/>
            <w:tcBorders>
              <w:bottom w:val="single" w:sz="4" w:space="0" w:color="000000" w:themeColor="text1"/>
            </w:tcBorders>
          </w:tcPr>
          <w:p w:rsidR="00B61327" w:rsidRPr="00282D19" w:rsidRDefault="00801C2C" w:rsidP="00282D19">
            <w:pPr>
              <w:pStyle w:val="Tabletext"/>
              <w:jc w:val="center"/>
            </w:pPr>
            <w:r w:rsidRPr="00282D19">
              <w:t>15–25</w:t>
            </w:r>
          </w:p>
        </w:tc>
        <w:tc>
          <w:tcPr>
            <w:tcW w:w="1879" w:type="dxa"/>
            <w:tcBorders>
              <w:bottom w:val="single" w:sz="4" w:space="0" w:color="000000" w:themeColor="text1"/>
            </w:tcBorders>
          </w:tcPr>
          <w:p w:rsidR="00B61327" w:rsidRPr="00282D19" w:rsidRDefault="00B61327" w:rsidP="00AE016C">
            <w:pPr>
              <w:pStyle w:val="Tabletext"/>
              <w:tabs>
                <w:tab w:val="decimal" w:pos="907"/>
              </w:tabs>
            </w:pPr>
            <w:r w:rsidRPr="00282D19">
              <w:t>16</w:t>
            </w:r>
          </w:p>
        </w:tc>
      </w:tr>
    </w:tbl>
    <w:p w:rsidR="00B61327" w:rsidRPr="00213448" w:rsidRDefault="00B61327" w:rsidP="00B61327">
      <w:pPr>
        <w:pStyle w:val="Source"/>
      </w:pPr>
      <w:r>
        <w:t>Note:</w:t>
      </w:r>
      <w:r>
        <w:tab/>
        <w:t>In the Y95 and Y98 cohorts, the samp</w:t>
      </w:r>
      <w:r w:rsidR="00801C2C">
        <w:t>ling criterion was students in Y</w:t>
      </w:r>
      <w:r>
        <w:t>ear 9 rather than students 15 years of age. Therefore, in Y95 and Y98 the average age when first surveyed was 14.7 years.</w:t>
      </w:r>
    </w:p>
    <w:p w:rsidR="00E4173A" w:rsidRPr="00282D19" w:rsidRDefault="00492025" w:rsidP="00282D19">
      <w:pPr>
        <w:pStyle w:val="Textmorebefore"/>
      </w:pPr>
      <w:r w:rsidRPr="00282D19">
        <w:t xml:space="preserve">The LSAY research program provides a rich source of information to enable a better understanding of young people and their transitions from school to post-school destinations; it also explores </w:t>
      </w:r>
      <w:r w:rsidR="006700A3" w:rsidRPr="00282D19">
        <w:t xml:space="preserve">some </w:t>
      </w:r>
      <w:r w:rsidRPr="00282D19">
        <w:t xml:space="preserve">social outcomes, such as wellbeing. Information collected as part of the LSAY program covers a wide range of school and post-school topics, including: student achievement, student aspirations, school retention, </w:t>
      </w:r>
      <w:proofErr w:type="gramStart"/>
      <w:r w:rsidRPr="00282D19">
        <w:t>social</w:t>
      </w:r>
      <w:proofErr w:type="gramEnd"/>
      <w:r w:rsidRPr="00282D19">
        <w:t xml:space="preserve"> background, attitudes to school, work experiences and what students do when they leave school. </w:t>
      </w:r>
      <w:r w:rsidR="00B61327" w:rsidRPr="00282D19">
        <w:t xml:space="preserve">As part of </w:t>
      </w:r>
      <w:r w:rsidR="00801C2C" w:rsidRPr="00282D19">
        <w:t>the Program</w:t>
      </w:r>
      <w:r w:rsidR="00861B61">
        <w:t>me</w:t>
      </w:r>
      <w:r w:rsidR="00801C2C" w:rsidRPr="00282D19">
        <w:t xml:space="preserve"> for International Student Assessment</w:t>
      </w:r>
      <w:r w:rsidR="00B61327" w:rsidRPr="00282D19">
        <w:t xml:space="preserve">, </w:t>
      </w:r>
      <w:r w:rsidR="00BF38BD" w:rsidRPr="00282D19">
        <w:t xml:space="preserve">from 2003 </w:t>
      </w:r>
      <w:r w:rsidR="00B61327" w:rsidRPr="00282D19">
        <w:t>the base year of each LSAY cohort also provides detailed information about respondents’ school env</w:t>
      </w:r>
      <w:r w:rsidR="00065EE0" w:rsidRPr="00282D19">
        <w:t>ironment, as outlined i</w:t>
      </w:r>
      <w:r w:rsidR="00801C2C" w:rsidRPr="00282D19">
        <w:t>n t</w:t>
      </w:r>
      <w:r w:rsidR="00065EE0" w:rsidRPr="00282D19">
        <w:t>able 2</w:t>
      </w:r>
      <w:r w:rsidR="00B61327" w:rsidRPr="00282D19">
        <w:t>.</w:t>
      </w:r>
    </w:p>
    <w:p w:rsidR="00E4173A" w:rsidRDefault="00E4173A" w:rsidP="00E4173A">
      <w:pPr>
        <w:pStyle w:val="tabletitle"/>
      </w:pPr>
      <w:bookmarkStart w:id="43" w:name="_Toc358811317"/>
      <w:r>
        <w:t xml:space="preserve">Table </w:t>
      </w:r>
      <w:r w:rsidR="00065EE0">
        <w:t>2</w:t>
      </w:r>
      <w:r>
        <w:tab/>
        <w:t>Major LSAY topic areas</w:t>
      </w:r>
      <w:bookmarkEnd w:id="43"/>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4"/>
        <w:gridCol w:w="4395"/>
      </w:tblGrid>
      <w:tr w:rsidR="00E4173A" w:rsidRPr="00AE016C" w:rsidTr="00AE016C">
        <w:tc>
          <w:tcPr>
            <w:tcW w:w="4394" w:type="dxa"/>
            <w:tcBorders>
              <w:top w:val="single" w:sz="4" w:space="0" w:color="000000" w:themeColor="text1"/>
              <w:bottom w:val="single" w:sz="4" w:space="0" w:color="000000" w:themeColor="text1"/>
            </w:tcBorders>
          </w:tcPr>
          <w:p w:rsidR="00E4173A" w:rsidRPr="00AE016C" w:rsidRDefault="00037508" w:rsidP="00AE016C">
            <w:pPr>
              <w:pStyle w:val="Tablehead1"/>
            </w:pPr>
            <w:r w:rsidRPr="00AE016C">
              <w:t>Student</w:t>
            </w:r>
            <w:r w:rsidR="00EA711C" w:rsidRPr="00AE016C">
              <w:t>-related</w:t>
            </w:r>
          </w:p>
        </w:tc>
        <w:tc>
          <w:tcPr>
            <w:tcW w:w="4395" w:type="dxa"/>
            <w:tcBorders>
              <w:top w:val="single" w:sz="4" w:space="0" w:color="000000" w:themeColor="text1"/>
              <w:bottom w:val="single" w:sz="4" w:space="0" w:color="000000" w:themeColor="text1"/>
            </w:tcBorders>
          </w:tcPr>
          <w:p w:rsidR="00E4173A" w:rsidRPr="00AE016C" w:rsidRDefault="00E4173A" w:rsidP="00AE016C">
            <w:pPr>
              <w:pStyle w:val="Tablehead1"/>
            </w:pPr>
            <w:r w:rsidRPr="00AE016C">
              <w:t>School</w:t>
            </w:r>
            <w:r w:rsidR="00EA711C" w:rsidRPr="00AE016C">
              <w:t>-related</w:t>
            </w:r>
          </w:p>
        </w:tc>
      </w:tr>
      <w:tr w:rsidR="00E4173A" w:rsidRPr="00AE016C" w:rsidTr="00AE016C">
        <w:tc>
          <w:tcPr>
            <w:tcW w:w="4394" w:type="dxa"/>
            <w:tcBorders>
              <w:top w:val="single" w:sz="4" w:space="0" w:color="000000" w:themeColor="text1"/>
            </w:tcBorders>
          </w:tcPr>
          <w:p w:rsidR="00E4173A" w:rsidRPr="00AE016C" w:rsidRDefault="00037508" w:rsidP="00AE016C">
            <w:pPr>
              <w:pStyle w:val="Tabletext"/>
            </w:pPr>
            <w:r w:rsidRPr="00AE016C">
              <w:t>Demographics (student; parent)</w:t>
            </w:r>
          </w:p>
        </w:tc>
        <w:tc>
          <w:tcPr>
            <w:tcW w:w="4395" w:type="dxa"/>
            <w:tcBorders>
              <w:top w:val="single" w:sz="4" w:space="0" w:color="000000" w:themeColor="text1"/>
            </w:tcBorders>
          </w:tcPr>
          <w:p w:rsidR="00E4173A" w:rsidRPr="00AE016C" w:rsidRDefault="00A4371A" w:rsidP="00AE016C">
            <w:pPr>
              <w:pStyle w:val="Tabletext"/>
            </w:pPr>
            <w:r w:rsidRPr="00AE016C">
              <w:t>Structure and organisation</w:t>
            </w:r>
          </w:p>
        </w:tc>
      </w:tr>
      <w:tr w:rsidR="00E4173A" w:rsidRPr="00AE016C" w:rsidTr="00AE016C">
        <w:tc>
          <w:tcPr>
            <w:tcW w:w="4394" w:type="dxa"/>
          </w:tcPr>
          <w:p w:rsidR="00E4173A" w:rsidRPr="00AE016C" w:rsidRDefault="00037508" w:rsidP="00AE016C">
            <w:pPr>
              <w:pStyle w:val="Tabletext"/>
            </w:pPr>
            <w:r w:rsidRPr="00AE016C">
              <w:t>Education (school; school transition; post-school)</w:t>
            </w:r>
          </w:p>
        </w:tc>
        <w:tc>
          <w:tcPr>
            <w:tcW w:w="4395" w:type="dxa"/>
          </w:tcPr>
          <w:p w:rsidR="00E4173A" w:rsidRPr="00AE016C" w:rsidRDefault="00A4371A" w:rsidP="00AE016C">
            <w:pPr>
              <w:pStyle w:val="Tabletext"/>
            </w:pPr>
            <w:r w:rsidRPr="00AE016C">
              <w:t>Staffing and management</w:t>
            </w:r>
          </w:p>
        </w:tc>
      </w:tr>
      <w:tr w:rsidR="00E4173A" w:rsidRPr="00AE016C" w:rsidTr="00AE016C">
        <w:tc>
          <w:tcPr>
            <w:tcW w:w="4394" w:type="dxa"/>
          </w:tcPr>
          <w:p w:rsidR="00E4173A" w:rsidRPr="00AE016C" w:rsidRDefault="00037508" w:rsidP="00AE016C">
            <w:pPr>
              <w:pStyle w:val="Tabletext"/>
            </w:pPr>
            <w:r w:rsidRPr="00AE016C">
              <w:t>Employment (current; job history and training; seeking</w:t>
            </w:r>
            <w:r w:rsidR="00AE016C">
              <w:t> </w:t>
            </w:r>
            <w:r w:rsidRPr="00AE016C">
              <w:t>employment; not in labour force)</w:t>
            </w:r>
          </w:p>
        </w:tc>
        <w:tc>
          <w:tcPr>
            <w:tcW w:w="4395" w:type="dxa"/>
          </w:tcPr>
          <w:p w:rsidR="00E4173A" w:rsidRPr="00AE016C" w:rsidRDefault="00A4371A" w:rsidP="00AE016C">
            <w:pPr>
              <w:pStyle w:val="Tabletext"/>
            </w:pPr>
            <w:r w:rsidRPr="00AE016C">
              <w:t>Resources</w:t>
            </w:r>
          </w:p>
        </w:tc>
      </w:tr>
      <w:tr w:rsidR="00E4173A" w:rsidRPr="00AE016C" w:rsidTr="00AE016C">
        <w:tc>
          <w:tcPr>
            <w:tcW w:w="4394" w:type="dxa"/>
            <w:tcBorders>
              <w:bottom w:val="single" w:sz="4" w:space="0" w:color="000000" w:themeColor="text1"/>
            </w:tcBorders>
          </w:tcPr>
          <w:p w:rsidR="00E4173A" w:rsidRPr="00AE016C" w:rsidRDefault="00037508" w:rsidP="00AE016C">
            <w:pPr>
              <w:pStyle w:val="Tabletext"/>
            </w:pPr>
            <w:r w:rsidRPr="00AE016C">
              <w:t>Social (health, living arrangements and finance; general</w:t>
            </w:r>
            <w:r w:rsidR="00AE016C">
              <w:t> </w:t>
            </w:r>
            <w:r w:rsidRPr="00AE016C">
              <w:t>attitudes)</w:t>
            </w:r>
          </w:p>
        </w:tc>
        <w:tc>
          <w:tcPr>
            <w:tcW w:w="4395" w:type="dxa"/>
            <w:tcBorders>
              <w:bottom w:val="single" w:sz="4" w:space="0" w:color="000000" w:themeColor="text1"/>
            </w:tcBorders>
          </w:tcPr>
          <w:p w:rsidR="00E4173A" w:rsidRPr="00AE016C" w:rsidRDefault="00A4371A" w:rsidP="00AE016C">
            <w:pPr>
              <w:pStyle w:val="Tabletext"/>
            </w:pPr>
            <w:r w:rsidRPr="00AE016C">
              <w:t>Accountability and admission practices</w:t>
            </w:r>
          </w:p>
        </w:tc>
      </w:tr>
    </w:tbl>
    <w:p w:rsidR="000E16DD" w:rsidRPr="00213448" w:rsidRDefault="000E16DD" w:rsidP="00B42D47">
      <w:pPr>
        <w:pStyle w:val="Heading2"/>
      </w:pPr>
      <w:bookmarkStart w:id="44" w:name="_Toc358811263"/>
      <w:r w:rsidRPr="00213448">
        <w:t xml:space="preserve">Linking </w:t>
      </w:r>
      <w:r w:rsidR="00E86020">
        <w:t>LSAY</w:t>
      </w:r>
      <w:r w:rsidR="00FD4FDA">
        <w:t xml:space="preserve"> to other datasets</w:t>
      </w:r>
      <w:bookmarkEnd w:id="44"/>
    </w:p>
    <w:p w:rsidR="00C56E74" w:rsidRPr="00B42D47" w:rsidRDefault="004B4B21" w:rsidP="00B42D47">
      <w:pPr>
        <w:pStyle w:val="Text"/>
      </w:pPr>
      <w:r>
        <w:t>Because the main focus of the surveys is track</w:t>
      </w:r>
      <w:r w:rsidR="00801C2C">
        <w:t>ing</w:t>
      </w:r>
      <w:r>
        <w:t xml:space="preserve"> youth transitions, LSAY is limited in the areas of </w:t>
      </w:r>
      <w:r w:rsidR="00801C2C">
        <w:t>health and wellbeing</w:t>
      </w:r>
      <w:r w:rsidRPr="00907410">
        <w:t xml:space="preserve"> and early childhood development. </w:t>
      </w:r>
      <w:r w:rsidR="00F12487">
        <w:t xml:space="preserve">With </w:t>
      </w:r>
      <w:r w:rsidR="000A5390">
        <w:t xml:space="preserve">an increasing </w:t>
      </w:r>
      <w:r w:rsidR="00F12487">
        <w:t>number of Australian and international research projects capitalising on the advantages of data linkage, t</w:t>
      </w:r>
      <w:r>
        <w:t xml:space="preserve">he idea of supplementing LSAY with data </w:t>
      </w:r>
      <w:r w:rsidRPr="00B42D47">
        <w:t>from administrative collec</w:t>
      </w:r>
      <w:r w:rsidR="00BA55A1" w:rsidRPr="00B42D47">
        <w:t xml:space="preserve">tions </w:t>
      </w:r>
      <w:r w:rsidR="00052B9A" w:rsidRPr="00B42D47">
        <w:t xml:space="preserve">to broaden the scope of the surveys </w:t>
      </w:r>
      <w:r w:rsidR="00BA55A1" w:rsidRPr="00B42D47">
        <w:t xml:space="preserve">is one worth exploring as a model </w:t>
      </w:r>
      <w:r w:rsidR="00F12487" w:rsidRPr="00B42D47">
        <w:t xml:space="preserve">for </w:t>
      </w:r>
      <w:r w:rsidR="00C56E74" w:rsidRPr="00B42D47">
        <w:t xml:space="preserve">future </w:t>
      </w:r>
      <w:r w:rsidR="0059633B" w:rsidRPr="00B42D47">
        <w:t>LSAY</w:t>
      </w:r>
      <w:r w:rsidR="00F12487" w:rsidRPr="00B42D47">
        <w:t xml:space="preserve"> </w:t>
      </w:r>
      <w:r w:rsidR="00BA55A1" w:rsidRPr="00B42D47">
        <w:t>develop</w:t>
      </w:r>
      <w:r w:rsidR="00F12487" w:rsidRPr="00B42D47">
        <w:t>ment</w:t>
      </w:r>
      <w:r w:rsidR="001F1BF3" w:rsidRPr="00B42D47">
        <w:t>.</w:t>
      </w:r>
    </w:p>
    <w:p w:rsidR="003D5FF1" w:rsidRPr="00B42D47" w:rsidRDefault="00C56E74" w:rsidP="00B42D47">
      <w:pPr>
        <w:pStyle w:val="Text"/>
      </w:pPr>
      <w:r w:rsidRPr="00B42D47">
        <w:lastRenderedPageBreak/>
        <w:t xml:space="preserve">Linking administrative data to surveys such as LSAY </w:t>
      </w:r>
      <w:r w:rsidR="00E926B7" w:rsidRPr="00B42D47">
        <w:t>enables researchers</w:t>
      </w:r>
      <w:r w:rsidR="004A6086" w:rsidRPr="00B42D47">
        <w:t xml:space="preserve"> to </w:t>
      </w:r>
      <w:r w:rsidRPr="00B42D47">
        <w:t xml:space="preserve">investigate issues that cannot be explored by any single source of information. </w:t>
      </w:r>
      <w:r w:rsidR="00051230" w:rsidRPr="00B42D47">
        <w:t>The lack of contextual information in administrative collections limits researchers who require data on a range of background factors that may be causally related to a given outcome of interest. Surveys</w:t>
      </w:r>
      <w:r w:rsidR="00E926B7" w:rsidRPr="00B42D47">
        <w:t xml:space="preserve"> </w:t>
      </w:r>
      <w:r w:rsidR="008A21FE" w:rsidRPr="00B42D47">
        <w:t>such as</w:t>
      </w:r>
      <w:r w:rsidR="00E926B7" w:rsidRPr="00B42D47">
        <w:t xml:space="preserve"> LSAY</w:t>
      </w:r>
      <w:r w:rsidR="00051230" w:rsidRPr="00B42D47">
        <w:t xml:space="preserve"> </w:t>
      </w:r>
      <w:r w:rsidR="00DB2E35" w:rsidRPr="00B42D47">
        <w:t xml:space="preserve">capture </w:t>
      </w:r>
      <w:r w:rsidR="00E926B7" w:rsidRPr="00B42D47">
        <w:t xml:space="preserve">such </w:t>
      </w:r>
      <w:r w:rsidR="00DB2E35" w:rsidRPr="00B42D47">
        <w:t>information</w:t>
      </w:r>
      <w:r w:rsidR="0059633B" w:rsidRPr="00B42D47">
        <w:t xml:space="preserve"> and provide rich data i</w:t>
      </w:r>
      <w:r w:rsidR="00E926B7" w:rsidRPr="00B42D47">
        <w:t>n other areas, such as socio-demographic background, participation in specific school and out-of-school interventions, person</w:t>
      </w:r>
      <w:r w:rsidR="00BF38BD" w:rsidRPr="00B42D47">
        <w:t>al attitudes and aspirations</w:t>
      </w:r>
      <w:r w:rsidR="00861B61">
        <w:t>,</w:t>
      </w:r>
      <w:r w:rsidR="00BF38BD" w:rsidRPr="00B42D47">
        <w:t xml:space="preserve"> and</w:t>
      </w:r>
      <w:r w:rsidR="00E926B7" w:rsidRPr="00B42D47">
        <w:t xml:space="preserve"> the family or neighbourhood environment. However, </w:t>
      </w:r>
      <w:r w:rsidR="008A21FE" w:rsidRPr="00B42D47">
        <w:t>surveys such as</w:t>
      </w:r>
      <w:r w:rsidR="00895F0C" w:rsidRPr="00B42D47">
        <w:t xml:space="preserve"> </w:t>
      </w:r>
      <w:r w:rsidR="00E926B7" w:rsidRPr="00B42D47">
        <w:t xml:space="preserve">LSAY </w:t>
      </w:r>
      <w:r w:rsidR="00895F0C" w:rsidRPr="00B42D47">
        <w:t>are</w:t>
      </w:r>
      <w:r w:rsidR="00051230" w:rsidRPr="00B42D47">
        <w:t xml:space="preserve"> </w:t>
      </w:r>
      <w:r w:rsidR="00027296" w:rsidRPr="00B42D47">
        <w:t xml:space="preserve">constrained </w:t>
      </w:r>
      <w:r w:rsidR="00051230" w:rsidRPr="00B42D47">
        <w:t xml:space="preserve">by </w:t>
      </w:r>
      <w:r w:rsidR="00DB2E35" w:rsidRPr="00B42D47">
        <w:t>population size</w:t>
      </w:r>
      <w:r w:rsidR="00E926B7" w:rsidRPr="00B42D47">
        <w:t xml:space="preserve">, </w:t>
      </w:r>
      <w:r w:rsidR="00133B7D" w:rsidRPr="00B42D47">
        <w:t>which limits</w:t>
      </w:r>
      <w:r w:rsidR="00DB2E35" w:rsidRPr="00B42D47">
        <w:t xml:space="preserve"> investigation into s</w:t>
      </w:r>
      <w:r w:rsidR="00E926B7" w:rsidRPr="00B42D47">
        <w:t>ubgroups and</w:t>
      </w:r>
      <w:r w:rsidR="00DB2E35" w:rsidRPr="00B42D47">
        <w:t xml:space="preserve"> </w:t>
      </w:r>
      <w:r w:rsidR="00BF38BD" w:rsidRPr="00B42D47">
        <w:t xml:space="preserve">into </w:t>
      </w:r>
      <w:r w:rsidR="00DB2E35" w:rsidRPr="00B42D47">
        <w:t>the impact of policy ‘treatments’</w:t>
      </w:r>
      <w:r w:rsidR="003D5FF1" w:rsidRPr="00B42D47">
        <w:t>.</w:t>
      </w:r>
    </w:p>
    <w:p w:rsidR="00985693" w:rsidRPr="00B42D47" w:rsidRDefault="00E926B7" w:rsidP="00B42D47">
      <w:pPr>
        <w:pStyle w:val="Text"/>
      </w:pPr>
      <w:r w:rsidRPr="00B42D47">
        <w:t>Unlike surveys, which take a population sample, administrative databases usually collect data for all members of a specific population of interest (</w:t>
      </w:r>
      <w:r w:rsidR="00133B7D" w:rsidRPr="00B42D47">
        <w:t>for example,</w:t>
      </w:r>
      <w:r w:rsidRPr="00B42D47">
        <w:t xml:space="preserve"> all people in receipt of unemployment benefits). This feature guarantees large datasets</w:t>
      </w:r>
      <w:r w:rsidR="00861B61">
        <w:t>,</w:t>
      </w:r>
      <w:r w:rsidRPr="00B42D47">
        <w:t xml:space="preserve"> which in turn improve</w:t>
      </w:r>
      <w:r w:rsidR="00861B61">
        <w:t>s</w:t>
      </w:r>
      <w:r w:rsidRPr="00B42D47">
        <w:t xml:space="preserve"> the precision of statistical analyses (Jenkins &amp; </w:t>
      </w:r>
      <w:proofErr w:type="spellStart"/>
      <w:r w:rsidRPr="00B42D47">
        <w:t>Siedler</w:t>
      </w:r>
      <w:proofErr w:type="spellEnd"/>
      <w:r w:rsidRPr="00B42D47">
        <w:t xml:space="preserve"> 2007). </w:t>
      </w:r>
      <w:r w:rsidR="000A5390" w:rsidRPr="00B42D47">
        <w:t xml:space="preserve">Other benefits of administrative data include accuracy and cost-effectiveness. </w:t>
      </w:r>
      <w:r w:rsidR="00985693" w:rsidRPr="00B42D47">
        <w:t>Ad</w:t>
      </w:r>
      <w:r w:rsidR="00697FE7" w:rsidRPr="00B42D47">
        <w:t>ministrative data can be</w:t>
      </w:r>
      <w:r w:rsidR="00985693" w:rsidRPr="00B42D47">
        <w:t xml:space="preserve"> more accurate </w:t>
      </w:r>
      <w:r w:rsidR="00405173" w:rsidRPr="00B42D47">
        <w:t xml:space="preserve">when compared </w:t>
      </w:r>
      <w:r w:rsidR="00133B7D" w:rsidRPr="00B42D47">
        <w:t>with</w:t>
      </w:r>
      <w:r w:rsidR="00405173" w:rsidRPr="00B42D47">
        <w:t xml:space="preserve"> information provided in self-reported surveys </w:t>
      </w:r>
      <w:r w:rsidR="00985693" w:rsidRPr="00B42D47">
        <w:t>because they are less prone to recall error (George &amp; Lee 2002)</w:t>
      </w:r>
      <w:r w:rsidR="00133B7D" w:rsidRPr="00B42D47">
        <w:t>.</w:t>
      </w:r>
      <w:r w:rsidR="00396987" w:rsidRPr="00B42D47">
        <w:rPr>
          <w:rStyle w:val="FootnoteReference"/>
        </w:rPr>
        <w:footnoteReference w:id="2"/>
      </w:r>
      <w:r w:rsidR="00985693" w:rsidRPr="00B42D47">
        <w:t xml:space="preserve"> </w:t>
      </w:r>
      <w:r w:rsidRPr="00B42D47">
        <w:t>T</w:t>
      </w:r>
      <w:r w:rsidR="00985693" w:rsidRPr="00B42D47">
        <w:t xml:space="preserve">he use of administrative data can </w:t>
      </w:r>
      <w:r w:rsidRPr="00B42D47">
        <w:t xml:space="preserve">also </w:t>
      </w:r>
      <w:r w:rsidR="00985693" w:rsidRPr="00B42D47">
        <w:t>result in substantial cost savings if variables of interest are available and no further data need to be collected through surveys (Hoffmann 1995).</w:t>
      </w:r>
    </w:p>
    <w:p w:rsidR="0059633B" w:rsidRDefault="00E84058" w:rsidP="00B42D47">
      <w:pPr>
        <w:pStyle w:val="Text"/>
      </w:pPr>
      <w:r w:rsidRPr="00B42D47">
        <w:t>Despite these advantages</w:t>
      </w:r>
      <w:r w:rsidRPr="00075CAA">
        <w:t xml:space="preserve">, </w:t>
      </w:r>
      <w:r w:rsidR="0059633B">
        <w:t>data linkage is not without its challenges. Th</w:t>
      </w:r>
      <w:r w:rsidR="008A21FE">
        <w:t>e</w:t>
      </w:r>
      <w:r w:rsidR="00895F0C">
        <w:t xml:space="preserve"> </w:t>
      </w:r>
      <w:r w:rsidR="008A21FE">
        <w:t xml:space="preserve">first part of this </w:t>
      </w:r>
      <w:r w:rsidR="0059633B">
        <w:t xml:space="preserve">paper explores the concept of data linkage and considers </w:t>
      </w:r>
      <w:r w:rsidR="0038341A" w:rsidRPr="0038341A">
        <w:t>advantages</w:t>
      </w:r>
      <w:r w:rsidR="001D5CB6">
        <w:t>/issues</w:t>
      </w:r>
      <w:r w:rsidR="0038341A" w:rsidRPr="0038341A">
        <w:t xml:space="preserve"> of</w:t>
      </w:r>
      <w:r w:rsidR="0038341A">
        <w:t xml:space="preserve"> </w:t>
      </w:r>
      <w:r w:rsidR="00E07387">
        <w:t>linking</w:t>
      </w:r>
      <w:r w:rsidR="0059633B">
        <w:t xml:space="preserve"> LSAY to:</w:t>
      </w:r>
    </w:p>
    <w:p w:rsidR="0059633B" w:rsidRPr="00B42D47" w:rsidRDefault="00BC7B5A" w:rsidP="00B42D47">
      <w:pPr>
        <w:pStyle w:val="Dotpoint1"/>
      </w:pPr>
      <w:r>
        <w:t xml:space="preserve">National </w:t>
      </w:r>
      <w:r w:rsidRPr="00B42D47">
        <w:t xml:space="preserve">Assessment Program — Literacy and Numeracy </w:t>
      </w:r>
    </w:p>
    <w:p w:rsidR="008A21FE" w:rsidRPr="00B42D47" w:rsidRDefault="008A21FE" w:rsidP="00B42D47">
      <w:pPr>
        <w:pStyle w:val="Dotpoint1"/>
      </w:pPr>
      <w:r w:rsidRPr="00B42D47">
        <w:t>Medicare Australia</w:t>
      </w:r>
    </w:p>
    <w:p w:rsidR="00DF74BF" w:rsidRPr="00B42D47" w:rsidRDefault="008A21FE" w:rsidP="00B42D47">
      <w:pPr>
        <w:pStyle w:val="Dotpoint1"/>
      </w:pPr>
      <w:proofErr w:type="spellStart"/>
      <w:r w:rsidRPr="00B42D47">
        <w:t>Centrelink</w:t>
      </w:r>
      <w:proofErr w:type="spellEnd"/>
    </w:p>
    <w:p w:rsidR="008A21FE" w:rsidRPr="00B42D47" w:rsidRDefault="008A21FE" w:rsidP="00B42D47">
      <w:pPr>
        <w:pStyle w:val="Dotpoint1"/>
      </w:pPr>
      <w:r w:rsidRPr="00B42D47">
        <w:t>Higher Education Statistics Collection</w:t>
      </w:r>
    </w:p>
    <w:p w:rsidR="00BA7464" w:rsidRPr="00B42D47" w:rsidRDefault="00BA7464" w:rsidP="00B42D47">
      <w:pPr>
        <w:pStyle w:val="Dotpoint1"/>
      </w:pPr>
      <w:r w:rsidRPr="00B42D47">
        <w:t>N</w:t>
      </w:r>
      <w:r w:rsidR="008A21FE" w:rsidRPr="00B42D47">
        <w:t>ational VET Provider C</w:t>
      </w:r>
      <w:r w:rsidR="007D7F16" w:rsidRPr="00B42D47">
        <w:t>ollection</w:t>
      </w:r>
    </w:p>
    <w:p w:rsidR="00DF74BF" w:rsidRDefault="008A21FE" w:rsidP="00B42D47">
      <w:pPr>
        <w:pStyle w:val="Dotpoint1"/>
      </w:pPr>
      <w:r w:rsidRPr="00B42D47">
        <w:t>Australian</w:t>
      </w:r>
      <w:r>
        <w:t xml:space="preserve"> Census</w:t>
      </w:r>
      <w:r w:rsidR="00133B7D">
        <w:t>.</w:t>
      </w:r>
    </w:p>
    <w:p w:rsidR="00EE124B" w:rsidRDefault="00FD4FDA" w:rsidP="00B42D47">
      <w:pPr>
        <w:pStyle w:val="Text"/>
        <w:ind w:right="141"/>
      </w:pPr>
      <w:r>
        <w:t xml:space="preserve">An alternative method </w:t>
      </w:r>
      <w:r w:rsidR="00BF38BD">
        <w:t>for</w:t>
      </w:r>
      <w:r>
        <w:t xml:space="preserve"> combining datasets is examined i</w:t>
      </w:r>
      <w:r w:rsidR="008A21FE">
        <w:t xml:space="preserve">n </w:t>
      </w:r>
      <w:r w:rsidR="00861B61">
        <w:t>the second part of this paper</w:t>
      </w:r>
      <w:r>
        <w:t>, where the concept of ‘statistical matching’ is explored</w:t>
      </w:r>
      <w:r w:rsidR="00BF38BD">
        <w:t>,</w:t>
      </w:r>
      <w:r w:rsidR="00133B7D">
        <w:t xml:space="preserve"> whereby</w:t>
      </w:r>
      <w:r>
        <w:t xml:space="preserve"> data from different sources</w:t>
      </w:r>
      <w:r w:rsidR="00133B7D">
        <w:t xml:space="preserve">, as opposed to data linkage, </w:t>
      </w:r>
      <w:r w:rsidR="00861B61">
        <w:t>which</w:t>
      </w:r>
      <w:r w:rsidR="00602440">
        <w:t xml:space="preserve"> </w:t>
      </w:r>
      <w:r w:rsidR="00133B7D">
        <w:t xml:space="preserve">do </w:t>
      </w:r>
      <w:r w:rsidR="00133B7D" w:rsidRPr="00602440">
        <w:t xml:space="preserve">not </w:t>
      </w:r>
      <w:r w:rsidR="00133B7D">
        <w:t>contain the same individuals, are combined</w:t>
      </w:r>
      <w:r>
        <w:t xml:space="preserve">. </w:t>
      </w:r>
      <w:r w:rsidR="00133B7D">
        <w:t>Using t</w:t>
      </w:r>
      <w:r w:rsidR="003D5FF1">
        <w:t>his methodology</w:t>
      </w:r>
      <w:r w:rsidR="00861B61">
        <w:t>,</w:t>
      </w:r>
      <w:r w:rsidR="003D5FF1">
        <w:t xml:space="preserve"> </w:t>
      </w:r>
      <w:r w:rsidR="008A21FE">
        <w:t xml:space="preserve">existing </w:t>
      </w:r>
      <w:r w:rsidR="007319EA">
        <w:t xml:space="preserve">LSAY data </w:t>
      </w:r>
      <w:r w:rsidR="00133B7D">
        <w:t xml:space="preserve">could be combined </w:t>
      </w:r>
      <w:r w:rsidR="007319EA">
        <w:t xml:space="preserve">with </w:t>
      </w:r>
      <w:r w:rsidR="008A21FE">
        <w:t xml:space="preserve">relevant </w:t>
      </w:r>
      <w:r w:rsidR="007319EA">
        <w:t xml:space="preserve">early childhood </w:t>
      </w:r>
      <w:r w:rsidR="007319EA" w:rsidRPr="00B42D47">
        <w:t>information</w:t>
      </w:r>
      <w:r w:rsidR="007319EA">
        <w:t xml:space="preserve"> from the Longitudinal Stu</w:t>
      </w:r>
      <w:r w:rsidR="00133B7D">
        <w:t>dy of Australian Children</w:t>
      </w:r>
      <w:r w:rsidR="007319EA">
        <w:t>.</w:t>
      </w:r>
      <w:r w:rsidRPr="00213448">
        <w:t xml:space="preserve"> </w:t>
      </w:r>
      <w:r w:rsidR="008A21FE">
        <w:t xml:space="preserve">The final part of the report </w:t>
      </w:r>
      <w:r w:rsidR="00373B80">
        <w:t xml:space="preserve">identifies </w:t>
      </w:r>
      <w:r w:rsidR="007319EA">
        <w:t>the m</w:t>
      </w:r>
      <w:r w:rsidR="007D7F16">
        <w:t>ost viable option(s) for LSAY.</w:t>
      </w:r>
    </w:p>
    <w:p w:rsidR="00907410" w:rsidRDefault="00907410" w:rsidP="001D5CB6">
      <w:pPr>
        <w:pStyle w:val="Text"/>
        <w:rPr>
          <w:rFonts w:ascii="Tahoma" w:hAnsi="Tahoma" w:cs="Tahoma"/>
          <w:sz w:val="28"/>
        </w:rPr>
      </w:pPr>
      <w:r>
        <w:br w:type="page"/>
      </w:r>
    </w:p>
    <w:p w:rsidR="00384309" w:rsidRDefault="007319EA" w:rsidP="00907410">
      <w:pPr>
        <w:pStyle w:val="Heading1"/>
      </w:pPr>
      <w:bookmarkStart w:id="45" w:name="_Toc358811264"/>
      <w:r>
        <w:lastRenderedPageBreak/>
        <w:t>Exploring d</w:t>
      </w:r>
      <w:r w:rsidR="00384309">
        <w:t>ata linkage</w:t>
      </w:r>
      <w:r>
        <w:t xml:space="preserve"> with LSAY</w:t>
      </w:r>
      <w:bookmarkEnd w:id="45"/>
    </w:p>
    <w:p w:rsidR="007319EA" w:rsidRPr="007319EA" w:rsidRDefault="007319EA" w:rsidP="007319EA">
      <w:pPr>
        <w:pStyle w:val="Heading2"/>
      </w:pPr>
      <w:bookmarkStart w:id="46" w:name="_Toc358811265"/>
      <w:r>
        <w:t>The concept of data linkage</w:t>
      </w:r>
      <w:bookmarkEnd w:id="46"/>
    </w:p>
    <w:p w:rsidR="0048646D" w:rsidRDefault="0089696D" w:rsidP="000641AB">
      <w:pPr>
        <w:pStyle w:val="Text"/>
      </w:pPr>
      <w:r>
        <w:t xml:space="preserve">The concept of </w:t>
      </w:r>
      <w:r w:rsidRPr="00861B61">
        <w:t>d</w:t>
      </w:r>
      <w:r w:rsidR="00993DB9" w:rsidRPr="00861B61">
        <w:t>ata linkage</w:t>
      </w:r>
      <w:r w:rsidR="00993DB9">
        <w:rPr>
          <w:rStyle w:val="FootnoteReference"/>
        </w:rPr>
        <w:footnoteReference w:id="3"/>
      </w:r>
      <w:r w:rsidR="00985693">
        <w:t xml:space="preserve"> </w:t>
      </w:r>
      <w:r w:rsidR="00CC0ADB">
        <w:t xml:space="preserve">is becoming </w:t>
      </w:r>
      <w:r w:rsidR="00BC1DE4">
        <w:t>increasingly</w:t>
      </w:r>
      <w:r w:rsidR="00E3382D">
        <w:t xml:space="preserve"> popular as a way of</w:t>
      </w:r>
      <w:r w:rsidR="00CC0ADB">
        <w:t xml:space="preserve"> </w:t>
      </w:r>
      <w:r w:rsidR="00E3382D">
        <w:t>combining</w:t>
      </w:r>
      <w:r w:rsidR="00985693">
        <w:t xml:space="preserve"> </w:t>
      </w:r>
      <w:r w:rsidR="00F77322">
        <w:t>relevant information</w:t>
      </w:r>
      <w:r w:rsidR="00CC0ADB">
        <w:t xml:space="preserve"> from different sources</w:t>
      </w:r>
      <w:r w:rsidR="00985693">
        <w:t>.</w:t>
      </w:r>
      <w:r w:rsidR="005B5EC2">
        <w:t xml:space="preserve"> </w:t>
      </w:r>
      <w:r>
        <w:t xml:space="preserve">Data linkage </w:t>
      </w:r>
      <w:r w:rsidR="00BB712B">
        <w:t>refers</w:t>
      </w:r>
      <w:r w:rsidR="00E86020">
        <w:t xml:space="preserve"> </w:t>
      </w:r>
      <w:r w:rsidR="00DE5066" w:rsidRPr="00213448">
        <w:t xml:space="preserve">to </w:t>
      </w:r>
      <w:r>
        <w:t xml:space="preserve">the process of </w:t>
      </w:r>
      <w:r w:rsidR="00E86020">
        <w:t>match</w:t>
      </w:r>
      <w:r w:rsidR="00BB712B">
        <w:t>ing</w:t>
      </w:r>
      <w:r w:rsidR="00C03F36" w:rsidRPr="00213448">
        <w:t xml:space="preserve"> </w:t>
      </w:r>
      <w:r w:rsidR="00F77322">
        <w:t>records</w:t>
      </w:r>
      <w:r w:rsidR="00DE5066" w:rsidRPr="00213448">
        <w:t xml:space="preserve"> </w:t>
      </w:r>
      <w:r w:rsidR="00C03F36" w:rsidRPr="00213448">
        <w:t xml:space="preserve">held </w:t>
      </w:r>
      <w:r w:rsidR="00C03F36" w:rsidRPr="0067090A">
        <w:t xml:space="preserve">in different </w:t>
      </w:r>
      <w:r w:rsidR="00DE5066" w:rsidRPr="0067090A">
        <w:t>d</w:t>
      </w:r>
      <w:r w:rsidR="00DE5066" w:rsidRPr="00213448">
        <w:t>ata sources</w:t>
      </w:r>
      <w:r w:rsidR="00C03F36" w:rsidRPr="00213448">
        <w:t xml:space="preserve"> about the </w:t>
      </w:r>
      <w:r w:rsidR="00C03F36" w:rsidRPr="00B322D8">
        <w:t xml:space="preserve">same </w:t>
      </w:r>
      <w:r w:rsidR="00C03F36" w:rsidRPr="00213448">
        <w:t>person</w:t>
      </w:r>
      <w:r w:rsidR="007C7DC7" w:rsidRPr="00213448">
        <w:t xml:space="preserve"> (</w:t>
      </w:r>
      <w:proofErr w:type="spellStart"/>
      <w:r w:rsidR="00FC5C95">
        <w:t>Jutte</w:t>
      </w:r>
      <w:proofErr w:type="spellEnd"/>
      <w:r w:rsidR="00FC5C95">
        <w:t xml:space="preserve">, </w:t>
      </w:r>
      <w:proofErr w:type="spellStart"/>
      <w:r w:rsidR="00FC5C95">
        <w:t>Roos</w:t>
      </w:r>
      <w:proofErr w:type="spellEnd"/>
      <w:r w:rsidR="00FC5C95">
        <w:t xml:space="preserve"> &amp; Brownell</w:t>
      </w:r>
      <w:r w:rsidR="009A0305" w:rsidRPr="00213448">
        <w:t xml:space="preserve"> 2011</w:t>
      </w:r>
      <w:r w:rsidR="007C7DC7" w:rsidRPr="00213448">
        <w:t>)</w:t>
      </w:r>
      <w:r w:rsidR="00DE5066" w:rsidRPr="00213448">
        <w:t xml:space="preserve">. </w:t>
      </w:r>
      <w:r w:rsidR="00BC1DE4">
        <w:t>D</w:t>
      </w:r>
      <w:r w:rsidR="0067090A">
        <w:t xml:space="preserve">ata linkage </w:t>
      </w:r>
      <w:r w:rsidR="00BC1DE4">
        <w:t xml:space="preserve">thus </w:t>
      </w:r>
      <w:r w:rsidR="00CC0ADB">
        <w:t xml:space="preserve">only applies to situations in which </w:t>
      </w:r>
      <w:r w:rsidR="0067090A">
        <w:t>the different data sources to be com</w:t>
      </w:r>
      <w:r w:rsidR="00BF1652">
        <w:t>bined contain, at least in part,</w:t>
      </w:r>
      <w:r w:rsidR="0067090A">
        <w:t xml:space="preserve"> infor</w:t>
      </w:r>
      <w:r w:rsidR="00BF1652">
        <w:t xml:space="preserve">mation on the same individuals. </w:t>
      </w:r>
      <w:r w:rsidR="005B5EC2">
        <w:t>For instance, i</w:t>
      </w:r>
      <w:r w:rsidR="00F95520">
        <w:t xml:space="preserve">t </w:t>
      </w:r>
      <w:r w:rsidR="00F77322">
        <w:t>is</w:t>
      </w:r>
      <w:r w:rsidR="00AA7ADC">
        <w:t xml:space="preserve"> </w:t>
      </w:r>
      <w:r w:rsidR="00F77322">
        <w:t>feasible</w:t>
      </w:r>
      <w:r w:rsidR="006A5A84">
        <w:t xml:space="preserve"> to</w:t>
      </w:r>
      <w:r w:rsidR="005B5EC2">
        <w:t xml:space="preserve"> combine </w:t>
      </w:r>
      <w:r w:rsidR="006D3FCB">
        <w:t xml:space="preserve">records from </w:t>
      </w:r>
      <w:r w:rsidR="005B5EC2">
        <w:t>Medicare</w:t>
      </w:r>
      <w:r w:rsidR="006D3FCB">
        <w:t xml:space="preserve"> Australia</w:t>
      </w:r>
      <w:r w:rsidR="00BF1652">
        <w:t xml:space="preserve"> </w:t>
      </w:r>
      <w:r w:rsidR="005B5EC2">
        <w:t>with</w:t>
      </w:r>
      <w:r w:rsidR="00F95520">
        <w:t xml:space="preserve"> LS</w:t>
      </w:r>
      <w:r w:rsidR="00F77322">
        <w:t xml:space="preserve">AY via data linkage because all LSAY respondents </w:t>
      </w:r>
      <w:r w:rsidR="00BF1652">
        <w:t>should</w:t>
      </w:r>
      <w:r w:rsidR="006D3FCB">
        <w:t>,</w:t>
      </w:r>
      <w:r w:rsidR="00BF1652">
        <w:t xml:space="preserve"> in theory</w:t>
      </w:r>
      <w:r w:rsidR="006D3FCB">
        <w:t>,</w:t>
      </w:r>
      <w:r w:rsidR="00BF1652">
        <w:t xml:space="preserve"> be included </w:t>
      </w:r>
      <w:r w:rsidR="00F77322">
        <w:t xml:space="preserve">in </w:t>
      </w:r>
      <w:r w:rsidR="00F95520">
        <w:t>the Medic</w:t>
      </w:r>
      <w:r w:rsidR="006A5A84">
        <w:t>are database</w:t>
      </w:r>
      <w:r w:rsidR="00FC5C95">
        <w:t>.</w:t>
      </w:r>
      <w:r w:rsidR="005B5EC2">
        <w:rPr>
          <w:rStyle w:val="FootnoteReference"/>
        </w:rPr>
        <w:footnoteReference w:id="4"/>
      </w:r>
      <w:r w:rsidR="00BF2F50">
        <w:t xml:space="preserve"> </w:t>
      </w:r>
      <w:r w:rsidR="00706D7C">
        <w:t>D</w:t>
      </w:r>
      <w:r w:rsidR="00AA7ADC">
        <w:t xml:space="preserve">ata linkage becomes less </w:t>
      </w:r>
      <w:r w:rsidR="002004BB">
        <w:t>useful</w:t>
      </w:r>
      <w:r w:rsidR="00AA7ADC">
        <w:t xml:space="preserve"> as the </w:t>
      </w:r>
      <w:r w:rsidR="00706D7C">
        <w:t xml:space="preserve">population </w:t>
      </w:r>
      <w:r w:rsidR="00AA7ADC">
        <w:t xml:space="preserve">overlap between </w:t>
      </w:r>
      <w:r w:rsidR="00FD6A1A">
        <w:t xml:space="preserve">data sources decreases, </w:t>
      </w:r>
      <w:r w:rsidR="00861B61">
        <w:t>and</w:t>
      </w:r>
      <w:r w:rsidR="00FD6A1A">
        <w:t xml:space="preserve"> the method</w:t>
      </w:r>
      <w:r w:rsidR="00312F41">
        <w:t xml:space="preserve"> is </w:t>
      </w:r>
      <w:r w:rsidR="00945289">
        <w:t>not applicable</w:t>
      </w:r>
      <w:r w:rsidR="00257BF6">
        <w:t xml:space="preserve"> when attempting to combine data sources that </w:t>
      </w:r>
      <w:r w:rsidR="00300026">
        <w:t>do</w:t>
      </w:r>
      <w:r w:rsidR="00300026" w:rsidRPr="00945289">
        <w:t xml:space="preserve"> not</w:t>
      </w:r>
      <w:r w:rsidR="00300026">
        <w:t xml:space="preserve"> </w:t>
      </w:r>
      <w:r w:rsidR="00257BF6">
        <w:t xml:space="preserve">contain information </w:t>
      </w:r>
      <w:r w:rsidR="002E0EE0">
        <w:t>about</w:t>
      </w:r>
      <w:r w:rsidR="00257BF6">
        <w:t xml:space="preserve"> </w:t>
      </w:r>
      <w:r w:rsidR="00300026">
        <w:t>the same</w:t>
      </w:r>
      <w:r w:rsidR="00257BF6">
        <w:t xml:space="preserve"> individuals. </w:t>
      </w:r>
      <w:r w:rsidR="00E3382D">
        <w:t xml:space="preserve">A </w:t>
      </w:r>
      <w:r w:rsidR="00D5057E">
        <w:t xml:space="preserve">potentially </w:t>
      </w:r>
      <w:r w:rsidR="00E3382D">
        <w:t>s</w:t>
      </w:r>
      <w:r w:rsidR="0048646D">
        <w:t>uitable</w:t>
      </w:r>
      <w:r w:rsidR="00E3382D">
        <w:t xml:space="preserve"> method</w:t>
      </w:r>
      <w:r w:rsidR="00FD6A1A">
        <w:t xml:space="preserve"> for </w:t>
      </w:r>
      <w:r w:rsidR="00E3382D">
        <w:t>this latter</w:t>
      </w:r>
      <w:r w:rsidR="00706D7C">
        <w:t xml:space="preserve"> scenario</w:t>
      </w:r>
      <w:r w:rsidR="00FD6A1A">
        <w:t xml:space="preserve"> </w:t>
      </w:r>
      <w:r w:rsidR="00E3382D">
        <w:t>is</w:t>
      </w:r>
      <w:r w:rsidR="00700C1E">
        <w:t xml:space="preserve"> considered in </w:t>
      </w:r>
      <w:r w:rsidR="00FD6A1A">
        <w:t>a later section</w:t>
      </w:r>
      <w:r w:rsidR="00700C1E">
        <w:t>.</w:t>
      </w:r>
    </w:p>
    <w:p w:rsidR="001C5F96" w:rsidRPr="002C5A6A" w:rsidRDefault="001C5F96" w:rsidP="001C5F96">
      <w:pPr>
        <w:pStyle w:val="Text"/>
      </w:pPr>
      <w:r>
        <w:t>Data are linked via</w:t>
      </w:r>
      <w:r w:rsidRPr="00213448">
        <w:t xml:space="preserve"> </w:t>
      </w:r>
      <w:r w:rsidRPr="006711B0">
        <w:t>deterministic or probabilistic</w:t>
      </w:r>
      <w:r>
        <w:t xml:space="preserve"> methods</w:t>
      </w:r>
      <w:r w:rsidRPr="00213448">
        <w:t xml:space="preserve">. </w:t>
      </w:r>
      <w:r w:rsidR="005C6A14">
        <w:t>A combination of linkage methods may be used in any one project, but the choice of method depends on the types and quality of linkage variables available on t</w:t>
      </w:r>
      <w:r w:rsidR="00602440">
        <w:t>he data</w:t>
      </w:r>
      <w:r w:rsidR="00351AA5">
        <w:t>sets to be linked (A</w:t>
      </w:r>
      <w:r w:rsidR="00FC5C95">
        <w:t>ustralian Institute of Health and Welfare</w:t>
      </w:r>
      <w:r w:rsidR="005C6A14">
        <w:t xml:space="preserve"> 2012). </w:t>
      </w:r>
      <w:r w:rsidRPr="00312F41">
        <w:t>Deterministic</w:t>
      </w:r>
      <w:r w:rsidRPr="00213448">
        <w:t xml:space="preserve"> data linkage ca</w:t>
      </w:r>
      <w:r>
        <w:t>n be used when records</w:t>
      </w:r>
      <w:r w:rsidRPr="00213448">
        <w:t xml:space="preserve"> </w:t>
      </w:r>
      <w:r>
        <w:t xml:space="preserve">across different data sources </w:t>
      </w:r>
      <w:r w:rsidRPr="00213448">
        <w:t xml:space="preserve">have a </w:t>
      </w:r>
      <w:r w:rsidRPr="006711B0">
        <w:t>common unique identifier</w:t>
      </w:r>
      <w:r w:rsidR="008D2F0F">
        <w:t xml:space="preserve">, </w:t>
      </w:r>
      <w:r>
        <w:t>also known as a ‘</w:t>
      </w:r>
      <w:r w:rsidR="008D2F0F">
        <w:t xml:space="preserve">statistical </w:t>
      </w:r>
      <w:r>
        <w:t>linkage key’</w:t>
      </w:r>
      <w:r w:rsidRPr="00B96072">
        <w:t xml:space="preserve">. </w:t>
      </w:r>
      <w:r w:rsidR="00B9678D">
        <w:t xml:space="preserve">Statistical </w:t>
      </w:r>
      <w:r w:rsidR="003F71A1">
        <w:t xml:space="preserve">linkage keys across different datasets are </w:t>
      </w:r>
      <w:r w:rsidR="008D2F0F">
        <w:t xml:space="preserve">found in community service program data collections in Australia, but </w:t>
      </w:r>
      <w:r w:rsidR="00D5057E">
        <w:t xml:space="preserve">are </w:t>
      </w:r>
      <w:r w:rsidR="008D2F0F">
        <w:t>rare</w:t>
      </w:r>
      <w:r w:rsidR="00914AC8">
        <w:t>ly available</w:t>
      </w:r>
      <w:r w:rsidR="008D2F0F">
        <w:t xml:space="preserve"> in </w:t>
      </w:r>
      <w:r w:rsidR="00914AC8">
        <w:t>other a</w:t>
      </w:r>
      <w:r w:rsidR="008E47D1">
        <w:t>dministrative data collections, and so</w:t>
      </w:r>
      <w:r w:rsidR="00C6365B">
        <w:t xml:space="preserve"> </w:t>
      </w:r>
      <w:r w:rsidRPr="00312F41">
        <w:t>probabilistic</w:t>
      </w:r>
      <w:r w:rsidR="00C6365B">
        <w:t xml:space="preserve"> data linkage is mostly used</w:t>
      </w:r>
      <w:r w:rsidR="00312F41">
        <w:t xml:space="preserve"> in practice</w:t>
      </w:r>
      <w:r>
        <w:t xml:space="preserve">. </w:t>
      </w:r>
      <w:r w:rsidR="00706D7C">
        <w:t>The probabilistic method</w:t>
      </w:r>
      <w:r>
        <w:t xml:space="preserve"> link</w:t>
      </w:r>
      <w:r w:rsidR="00706D7C">
        <w:t>s</w:t>
      </w:r>
      <w:r>
        <w:t xml:space="preserve"> records on a combination of several high-quality </w:t>
      </w:r>
      <w:r w:rsidRPr="006711B0">
        <w:t>representative identifiers</w:t>
      </w:r>
      <w:r>
        <w:t xml:space="preserve">, such as a person’s full name, gender, </w:t>
      </w:r>
      <w:r w:rsidRPr="00213448">
        <w:t>date of birth</w:t>
      </w:r>
      <w:r>
        <w:t xml:space="preserve"> and address.</w:t>
      </w:r>
      <w:r w:rsidRPr="00BF6FDF">
        <w:t xml:space="preserve"> </w:t>
      </w:r>
      <w:r w:rsidR="00312F41">
        <w:t>R</w:t>
      </w:r>
      <w:r>
        <w:t>epresentative identifiers are used to compute</w:t>
      </w:r>
      <w:r w:rsidRPr="002C5A6A">
        <w:t xml:space="preserve"> </w:t>
      </w:r>
      <w:r>
        <w:t>the probability of two records from different data sources belonging to the same individual</w:t>
      </w:r>
      <w:r w:rsidRPr="002C5A6A">
        <w:t xml:space="preserve">. </w:t>
      </w:r>
      <w:r>
        <w:t>T</w:t>
      </w:r>
      <w:r w:rsidR="00861B61">
        <w:t>he t</w:t>
      </w:r>
      <w:r>
        <w:t xml:space="preserve">wo records are </w:t>
      </w:r>
      <w:r w:rsidR="00D82B6D">
        <w:t xml:space="preserve">then </w:t>
      </w:r>
      <w:r>
        <w:t>linked once a certain probability threshold is reached.</w:t>
      </w:r>
    </w:p>
    <w:p w:rsidR="001C5F96" w:rsidRDefault="001C5F96" w:rsidP="001C5F96">
      <w:pPr>
        <w:pStyle w:val="Text"/>
      </w:pPr>
      <w:r>
        <w:t>The actual task of identifying and linking records from different sources is carried out automatically using probabilistic linkage algorithms</w:t>
      </w:r>
      <w:r w:rsidR="00CB1E2B">
        <w:t>.</w:t>
      </w:r>
      <w:r>
        <w:rPr>
          <w:rStyle w:val="FootnoteReference"/>
        </w:rPr>
        <w:footnoteReference w:id="5"/>
      </w:r>
      <w:r>
        <w:t xml:space="preserve"> While c</w:t>
      </w:r>
      <w:r w:rsidRPr="00213448">
        <w:t>omplicat</w:t>
      </w:r>
      <w:r>
        <w:t xml:space="preserve">ions </w:t>
      </w:r>
      <w:r w:rsidRPr="00213448">
        <w:t xml:space="preserve">can arise </w:t>
      </w:r>
      <w:r w:rsidR="009A3BE8">
        <w:t>from</w:t>
      </w:r>
      <w:r>
        <w:t xml:space="preserve"> </w:t>
      </w:r>
      <w:r w:rsidRPr="00213448">
        <w:t>duplicate records or typographical errors</w:t>
      </w:r>
      <w:r w:rsidR="00706D7C">
        <w:t xml:space="preserve"> in the data</w:t>
      </w:r>
      <w:r>
        <w:t>,</w:t>
      </w:r>
      <w:r w:rsidRPr="00213448">
        <w:t xml:space="preserve"> modern computer algorithms achieve very </w:t>
      </w:r>
      <w:r>
        <w:t>accurate linkage results</w:t>
      </w:r>
      <w:r w:rsidRPr="00213448">
        <w:t>.</w:t>
      </w:r>
      <w:r>
        <w:t xml:space="preserve"> </w:t>
      </w:r>
      <w:r w:rsidRPr="00B96072">
        <w:t xml:space="preserve">Jenkins et al. (2008) </w:t>
      </w:r>
      <w:r w:rsidR="00722C41">
        <w:t>linked</w:t>
      </w:r>
      <w:r w:rsidR="00722C41" w:rsidRPr="00B96072">
        <w:t xml:space="preserve"> a large British household survey to a</w:t>
      </w:r>
      <w:r w:rsidR="00722C41">
        <w:t>n administrative tax collection</w:t>
      </w:r>
      <w:r w:rsidRPr="00B96072">
        <w:t xml:space="preserve"> to benchmark probabilistic v</w:t>
      </w:r>
      <w:r w:rsidR="00722C41">
        <w:t>ersus deterministic methods</w:t>
      </w:r>
      <w:r w:rsidR="00C6365B">
        <w:t>. P</w:t>
      </w:r>
      <w:r w:rsidRPr="00B96072">
        <w:t xml:space="preserve">robabilistic methods </w:t>
      </w:r>
      <w:r w:rsidR="00E0646F">
        <w:t xml:space="preserve">yielded </w:t>
      </w:r>
      <w:r w:rsidR="00722C41">
        <w:t xml:space="preserve">accurate </w:t>
      </w:r>
      <w:r w:rsidR="00C6365B">
        <w:t>results</w:t>
      </w:r>
      <w:r w:rsidR="00E0646F">
        <w:t xml:space="preserve"> when </w:t>
      </w:r>
      <w:r w:rsidR="00722C41">
        <w:t>linking on</w:t>
      </w:r>
      <w:r w:rsidRPr="00B96072">
        <w:t xml:space="preserve"> gender, date of b</w:t>
      </w:r>
      <w:r>
        <w:t xml:space="preserve">irth, postcode, and first </w:t>
      </w:r>
      <w:r w:rsidRPr="00B96072">
        <w:t>and family name</w:t>
      </w:r>
      <w:r w:rsidR="00E0646F">
        <w:t xml:space="preserve"> as representative identifiers</w:t>
      </w:r>
      <w:r w:rsidRPr="00B96072">
        <w:t xml:space="preserve">. The authors </w:t>
      </w:r>
      <w:r w:rsidR="00E0646F">
        <w:t>attested</w:t>
      </w:r>
      <w:r w:rsidR="00CB1E2B">
        <w:t xml:space="preserve"> that ‘</w:t>
      </w:r>
      <w:r w:rsidRPr="00B96072">
        <w:t>record linkage between household survey responses and administrative data is fea</w:t>
      </w:r>
      <w:r w:rsidR="00722C41">
        <w:t xml:space="preserve">sible, and </w:t>
      </w:r>
      <w:r w:rsidR="00CB1E2B">
        <w:t>…</w:t>
      </w:r>
      <w:r w:rsidRPr="00B96072">
        <w:t xml:space="preserve"> can yield good results when judged in terms of number</w:t>
      </w:r>
      <w:r w:rsidR="00CB1E2B">
        <w:t>s of matches and their accuracy’ (</w:t>
      </w:r>
      <w:r w:rsidR="00FC7CA4">
        <w:t xml:space="preserve">Jenkins et al. 2008, </w:t>
      </w:r>
      <w:r w:rsidR="00CB1E2B">
        <w:t>p.</w:t>
      </w:r>
      <w:r w:rsidRPr="00B96072">
        <w:t>40).</w:t>
      </w:r>
    </w:p>
    <w:p w:rsidR="00C13155" w:rsidRPr="00213448" w:rsidRDefault="00C13155" w:rsidP="008E47D1">
      <w:pPr>
        <w:pStyle w:val="Heading2"/>
      </w:pPr>
      <w:bookmarkStart w:id="47" w:name="_Toc358811266"/>
      <w:r>
        <w:t>Use of data linkage in current research</w:t>
      </w:r>
      <w:bookmarkEnd w:id="47"/>
    </w:p>
    <w:p w:rsidR="00E35920" w:rsidRDefault="00365164" w:rsidP="00C04F7D">
      <w:pPr>
        <w:pStyle w:val="Text"/>
      </w:pPr>
      <w:r>
        <w:t>One important driver for t</w:t>
      </w:r>
      <w:r w:rsidR="00236B0D">
        <w:t xml:space="preserve">he </w:t>
      </w:r>
      <w:r w:rsidR="00D82B6D">
        <w:t xml:space="preserve">recent </w:t>
      </w:r>
      <w:r w:rsidR="00602440">
        <w:t>proliferation of data-</w:t>
      </w:r>
      <w:r w:rsidR="00236B0D">
        <w:t xml:space="preserve">linkage studies </w:t>
      </w:r>
      <w:r w:rsidR="00DC5AA9">
        <w:t>in</w:t>
      </w:r>
      <w:r w:rsidR="00D82B6D">
        <w:t xml:space="preserve"> Australia and abroad </w:t>
      </w:r>
      <w:r>
        <w:t>is</w:t>
      </w:r>
      <w:r w:rsidR="00236B0D">
        <w:t xml:space="preserve"> the need to </w:t>
      </w:r>
      <w:r w:rsidR="00C13155">
        <w:t xml:space="preserve">understand the complex </w:t>
      </w:r>
      <w:r w:rsidR="00A23607">
        <w:t>interactions</w:t>
      </w:r>
      <w:r w:rsidR="00C13155">
        <w:t xml:space="preserve"> between </w:t>
      </w:r>
      <w:r w:rsidR="00A23607">
        <w:t xml:space="preserve">intergenerational and </w:t>
      </w:r>
      <w:r w:rsidR="00C13155">
        <w:t>early</w:t>
      </w:r>
      <w:r w:rsidR="00FC7CA4">
        <w:t xml:space="preserve"> </w:t>
      </w:r>
      <w:r w:rsidR="00A23607">
        <w:t>childhood</w:t>
      </w:r>
      <w:r w:rsidR="00C13155">
        <w:t xml:space="preserve"> </w:t>
      </w:r>
      <w:r w:rsidR="00C13155" w:rsidRPr="00213448">
        <w:t>health</w:t>
      </w:r>
      <w:r w:rsidR="00C13155">
        <w:t xml:space="preserve"> </w:t>
      </w:r>
      <w:r w:rsidR="00C13155">
        <w:lastRenderedPageBreak/>
        <w:t>factors on o</w:t>
      </w:r>
      <w:r w:rsidR="00A23607">
        <w:t>ne hand, and</w:t>
      </w:r>
      <w:r w:rsidR="00C13155" w:rsidRPr="00213448">
        <w:t xml:space="preserve"> broader</w:t>
      </w:r>
      <w:r w:rsidR="00C13155">
        <w:t xml:space="preserve"> social outcomes over an individual’s life course on the ot</w:t>
      </w:r>
      <w:r w:rsidR="00A23607">
        <w:t>her. Understanding these</w:t>
      </w:r>
      <w:r w:rsidR="00C13155">
        <w:t xml:space="preserve"> relationships requires linki</w:t>
      </w:r>
      <w:r w:rsidR="00236B0D">
        <w:t xml:space="preserve">ng data sources across </w:t>
      </w:r>
      <w:r w:rsidR="00A23607">
        <w:t>sectors such as health, educ</w:t>
      </w:r>
      <w:r w:rsidR="00602440">
        <w:t>ation, welfare</w:t>
      </w:r>
      <w:r w:rsidR="00DC5AA9">
        <w:t xml:space="preserve"> and other</w:t>
      </w:r>
      <w:r w:rsidR="00E2096E">
        <w:t xml:space="preserve"> relevant sectors</w:t>
      </w:r>
      <w:r w:rsidR="00C13155">
        <w:t>.</w:t>
      </w:r>
    </w:p>
    <w:p w:rsidR="00713883" w:rsidRDefault="00236B0D" w:rsidP="00713883">
      <w:pPr>
        <w:pStyle w:val="Text"/>
        <w:keepNext/>
      </w:pPr>
      <w:r>
        <w:t>Significant</w:t>
      </w:r>
      <w:r w:rsidR="00A23607">
        <w:t xml:space="preserve"> work based on linked lif</w:t>
      </w:r>
      <w:r w:rsidR="00C13155">
        <w:t xml:space="preserve">e-course data has </w:t>
      </w:r>
      <w:r w:rsidR="00365164">
        <w:t xml:space="preserve">recently </w:t>
      </w:r>
      <w:r w:rsidR="00C13155">
        <w:t xml:space="preserve">been </w:t>
      </w:r>
      <w:r w:rsidR="00E2096E">
        <w:t>undertaken</w:t>
      </w:r>
      <w:r w:rsidR="00C13155">
        <w:t xml:space="preserve"> </w:t>
      </w:r>
      <w:r w:rsidR="00A23607">
        <w:t>in Canada</w:t>
      </w:r>
      <w:r>
        <w:t xml:space="preserve">. Using linked data from the </w:t>
      </w:r>
      <w:r w:rsidR="00C13155" w:rsidRPr="00213448">
        <w:t>Manitoba Population Health Research Data Repository</w:t>
      </w:r>
      <w:r w:rsidR="008E47D1">
        <w:t>,</w:t>
      </w:r>
      <w:r w:rsidR="00C13155" w:rsidRPr="00213448">
        <w:rPr>
          <w:rStyle w:val="FootnoteReference"/>
        </w:rPr>
        <w:footnoteReference w:id="6"/>
      </w:r>
      <w:r w:rsidR="00A23607">
        <w:t xml:space="preserve"> researchers</w:t>
      </w:r>
      <w:r>
        <w:t xml:space="preserve"> have </w:t>
      </w:r>
      <w:r w:rsidR="00C13155" w:rsidRPr="00213448">
        <w:t>establish</w:t>
      </w:r>
      <w:r>
        <w:t>ed</w:t>
      </w:r>
      <w:r w:rsidR="00C13155" w:rsidRPr="00213448">
        <w:t xml:space="preserve"> </w:t>
      </w:r>
      <w:r>
        <w:t xml:space="preserve">important </w:t>
      </w:r>
      <w:r w:rsidR="00C13155" w:rsidRPr="00213448">
        <w:t>causal relationships between early</w:t>
      </w:r>
      <w:r w:rsidR="00FC7CA4">
        <w:t xml:space="preserve"> l</w:t>
      </w:r>
      <w:r w:rsidR="00C13155" w:rsidRPr="00213448">
        <w:t>ife risk factors and long-term health,</w:t>
      </w:r>
      <w:r w:rsidR="00602440">
        <w:t xml:space="preserve"> education</w:t>
      </w:r>
      <w:r w:rsidR="00C13155" w:rsidRPr="00213448">
        <w:t xml:space="preserve"> </w:t>
      </w:r>
      <w:r w:rsidR="00C13155">
        <w:t xml:space="preserve">and </w:t>
      </w:r>
      <w:r w:rsidR="00C13155" w:rsidRPr="00213448">
        <w:t>labour market outcomes (Browne</w:t>
      </w:r>
      <w:r w:rsidR="00351AA5">
        <w:t xml:space="preserve">ll et al. 2010; </w:t>
      </w:r>
      <w:proofErr w:type="spellStart"/>
      <w:r w:rsidR="00351AA5">
        <w:t>Jutte</w:t>
      </w:r>
      <w:proofErr w:type="spellEnd"/>
      <w:r w:rsidR="00CB1E2B">
        <w:t>, Brownell</w:t>
      </w:r>
      <w:r w:rsidR="00351AA5">
        <w:t xml:space="preserve"> </w:t>
      </w:r>
      <w:r w:rsidR="00C13155" w:rsidRPr="00213448">
        <w:t>et al. 20</w:t>
      </w:r>
      <w:r w:rsidR="00CB1E2B">
        <w:t>10</w:t>
      </w:r>
      <w:r w:rsidR="00351AA5">
        <w:t xml:space="preserve">; </w:t>
      </w:r>
      <w:proofErr w:type="spellStart"/>
      <w:r w:rsidR="00351AA5">
        <w:t>Jutte</w:t>
      </w:r>
      <w:proofErr w:type="spellEnd"/>
      <w:r w:rsidR="00CB1E2B">
        <w:t xml:space="preserve">, </w:t>
      </w:r>
      <w:proofErr w:type="spellStart"/>
      <w:r w:rsidR="00CB1E2B">
        <w:t>Roos</w:t>
      </w:r>
      <w:proofErr w:type="spellEnd"/>
      <w:r w:rsidR="00CB1E2B">
        <w:t xml:space="preserve"> et al. 2010</w:t>
      </w:r>
      <w:r w:rsidR="00C13155" w:rsidRPr="00213448">
        <w:t xml:space="preserve">). Similar cross-sectoral studies </w:t>
      </w:r>
      <w:r w:rsidR="00C13155">
        <w:t>with linked</w:t>
      </w:r>
      <w:r w:rsidR="00C13155" w:rsidRPr="00213448">
        <w:t xml:space="preserve"> data have been conducted in </w:t>
      </w:r>
      <w:r w:rsidR="00E35920">
        <w:t>Sweden</w:t>
      </w:r>
      <w:r w:rsidR="00C13155" w:rsidRPr="00213448">
        <w:t xml:space="preserve"> </w:t>
      </w:r>
      <w:r w:rsidR="00C13155">
        <w:t>(</w:t>
      </w:r>
      <w:proofErr w:type="spellStart"/>
      <w:r w:rsidR="00BB2890">
        <w:t>Lawlor</w:t>
      </w:r>
      <w:proofErr w:type="spellEnd"/>
      <w:r w:rsidR="00BB2890">
        <w:t xml:space="preserve"> et</w:t>
      </w:r>
      <w:r w:rsidR="00921EC7">
        <w:t> </w:t>
      </w:r>
      <w:r w:rsidR="00BB2890">
        <w:t xml:space="preserve">al. 2006; Li, </w:t>
      </w:r>
      <w:proofErr w:type="spellStart"/>
      <w:r w:rsidR="00BB2890">
        <w:t>Sundquist</w:t>
      </w:r>
      <w:proofErr w:type="spellEnd"/>
      <w:r w:rsidR="00BB2890">
        <w:t xml:space="preserve"> &amp; </w:t>
      </w:r>
      <w:proofErr w:type="spellStart"/>
      <w:r w:rsidR="00BB2890">
        <w:t>Sundquist</w:t>
      </w:r>
      <w:proofErr w:type="spellEnd"/>
      <w:r w:rsidR="00C13155" w:rsidRPr="00213448">
        <w:t xml:space="preserve"> 2010</w:t>
      </w:r>
      <w:r w:rsidR="00C04F7D">
        <w:t>).</w:t>
      </w:r>
      <w:r w:rsidR="007E6342">
        <w:t xml:space="preserve"> </w:t>
      </w:r>
      <w:r w:rsidR="00713883">
        <w:t xml:space="preserve">Current Australian examples of cross-sectoral linkage projects include </w:t>
      </w:r>
      <w:r w:rsidR="00713883" w:rsidRPr="00213448">
        <w:t xml:space="preserve">the prediction of reading and numeracy skills from early childhood </w:t>
      </w:r>
      <w:r w:rsidR="00BB2890">
        <w:t>development data (Gregory 2012)</w:t>
      </w:r>
      <w:r w:rsidR="00713883">
        <w:t xml:space="preserve"> and </w:t>
      </w:r>
      <w:r w:rsidR="00713883" w:rsidRPr="00213448">
        <w:t>the impact of social and clinical background factors on school readiness (Lynch 2012</w:t>
      </w:r>
      <w:r w:rsidR="00713883">
        <w:t>)</w:t>
      </w:r>
      <w:r w:rsidR="00713883" w:rsidRPr="00213448">
        <w:t>.</w:t>
      </w:r>
      <w:r w:rsidR="00713883" w:rsidRPr="007E6342">
        <w:t xml:space="preserve"> </w:t>
      </w:r>
      <w:r w:rsidR="00713883">
        <w:t>A brief summary of select</w:t>
      </w:r>
      <w:r w:rsidR="00FC7CA4">
        <w:t>ed</w:t>
      </w:r>
      <w:r w:rsidR="00713883" w:rsidRPr="00213448">
        <w:t xml:space="preserve"> research </w:t>
      </w:r>
      <w:r w:rsidR="00713883">
        <w:t>studies</w:t>
      </w:r>
      <w:r w:rsidR="00713883" w:rsidRPr="00213448">
        <w:t xml:space="preserve"> </w:t>
      </w:r>
      <w:r w:rsidR="00713883">
        <w:t>using linked data</w:t>
      </w:r>
      <w:r w:rsidR="00713883" w:rsidRPr="00213448">
        <w:t xml:space="preserve"> </w:t>
      </w:r>
      <w:r w:rsidR="00713883">
        <w:t xml:space="preserve">is provided in </w:t>
      </w:r>
      <w:r w:rsidR="00BB2890">
        <w:t>t</w:t>
      </w:r>
      <w:r w:rsidR="00713883" w:rsidRPr="00213448">
        <w:t xml:space="preserve">able </w:t>
      </w:r>
      <w:r w:rsidR="005B4232">
        <w:t>3.</w:t>
      </w:r>
    </w:p>
    <w:p w:rsidR="00C13155" w:rsidRPr="00213448" w:rsidRDefault="00C13155" w:rsidP="0063386D">
      <w:pPr>
        <w:pStyle w:val="tabletitle"/>
        <w:keepNext/>
      </w:pPr>
      <w:bookmarkStart w:id="48" w:name="_Toc329600646"/>
      <w:bookmarkStart w:id="49" w:name="_Toc358811318"/>
      <w:r w:rsidRPr="00213448">
        <w:t xml:space="preserve">Table </w:t>
      </w:r>
      <w:r w:rsidR="00065EE0">
        <w:t>3</w:t>
      </w:r>
      <w:r w:rsidRPr="00213448">
        <w:tab/>
        <w:t>Summary of select</w:t>
      </w:r>
      <w:r w:rsidR="001539F2">
        <w:t>ed</w:t>
      </w:r>
      <w:r w:rsidRPr="00213448">
        <w:t xml:space="preserve"> research </w:t>
      </w:r>
      <w:r w:rsidR="00E35920">
        <w:t xml:space="preserve">studies </w:t>
      </w:r>
      <w:r w:rsidRPr="00213448">
        <w:t>using linked data</w:t>
      </w:r>
      <w:bookmarkEnd w:id="48"/>
      <w:bookmarkEnd w:id="49"/>
    </w:p>
    <w:tbl>
      <w:tblPr>
        <w:tblW w:w="8789" w:type="dxa"/>
        <w:tblInd w:w="108" w:type="dxa"/>
        <w:tblLayout w:type="fixed"/>
        <w:tblLook w:val="04A0"/>
      </w:tblPr>
      <w:tblGrid>
        <w:gridCol w:w="2458"/>
        <w:gridCol w:w="1800"/>
        <w:gridCol w:w="1248"/>
        <w:gridCol w:w="3283"/>
      </w:tblGrid>
      <w:tr w:rsidR="00C13155" w:rsidRPr="00921EC7" w:rsidTr="00921EC7">
        <w:tc>
          <w:tcPr>
            <w:tcW w:w="2518" w:type="dxa"/>
            <w:tcBorders>
              <w:top w:val="single" w:sz="4" w:space="0" w:color="000000" w:themeColor="text1"/>
              <w:bottom w:val="single" w:sz="4" w:space="0" w:color="000000" w:themeColor="text1"/>
            </w:tcBorders>
          </w:tcPr>
          <w:p w:rsidR="00C13155" w:rsidRPr="00921EC7" w:rsidRDefault="00BB2890" w:rsidP="00921EC7">
            <w:pPr>
              <w:pStyle w:val="Tablehead1"/>
            </w:pPr>
            <w:r w:rsidRPr="00921EC7">
              <w:t>Study f</w:t>
            </w:r>
            <w:r w:rsidR="00C13155" w:rsidRPr="00921EC7">
              <w:t>ocus</w:t>
            </w:r>
          </w:p>
        </w:tc>
        <w:tc>
          <w:tcPr>
            <w:tcW w:w="1843" w:type="dxa"/>
            <w:tcBorders>
              <w:top w:val="single" w:sz="4" w:space="0" w:color="000000" w:themeColor="text1"/>
              <w:bottom w:val="single" w:sz="4" w:space="0" w:color="000000" w:themeColor="text1"/>
            </w:tcBorders>
          </w:tcPr>
          <w:p w:rsidR="00C13155" w:rsidRPr="00921EC7" w:rsidRDefault="00C13155" w:rsidP="00921EC7">
            <w:pPr>
              <w:pStyle w:val="Tablehead1"/>
            </w:pPr>
            <w:r w:rsidRPr="00921EC7">
              <w:t>Author(s)</w:t>
            </w:r>
          </w:p>
        </w:tc>
        <w:tc>
          <w:tcPr>
            <w:tcW w:w="1276" w:type="dxa"/>
            <w:tcBorders>
              <w:top w:val="single" w:sz="4" w:space="0" w:color="000000" w:themeColor="text1"/>
              <w:bottom w:val="single" w:sz="4" w:space="0" w:color="000000" w:themeColor="text1"/>
            </w:tcBorders>
          </w:tcPr>
          <w:p w:rsidR="00C13155" w:rsidRPr="00921EC7" w:rsidRDefault="00C13155" w:rsidP="00921EC7">
            <w:pPr>
              <w:pStyle w:val="Tablehead1"/>
            </w:pPr>
            <w:r w:rsidRPr="00921EC7">
              <w:t>Location</w:t>
            </w:r>
          </w:p>
        </w:tc>
        <w:tc>
          <w:tcPr>
            <w:tcW w:w="3367" w:type="dxa"/>
            <w:tcBorders>
              <w:top w:val="single" w:sz="4" w:space="0" w:color="000000" w:themeColor="text1"/>
              <w:bottom w:val="single" w:sz="4" w:space="0" w:color="000000" w:themeColor="text1"/>
            </w:tcBorders>
          </w:tcPr>
          <w:p w:rsidR="00C13155" w:rsidRPr="00921EC7" w:rsidRDefault="00BB2890" w:rsidP="00921EC7">
            <w:pPr>
              <w:pStyle w:val="Tablehead1"/>
            </w:pPr>
            <w:r w:rsidRPr="00921EC7">
              <w:t>Data s</w:t>
            </w:r>
            <w:r w:rsidR="00C13155" w:rsidRPr="00921EC7">
              <w:t>ources</w:t>
            </w:r>
          </w:p>
        </w:tc>
      </w:tr>
      <w:tr w:rsidR="00C13155" w:rsidRPr="00213448" w:rsidTr="00921EC7">
        <w:tc>
          <w:tcPr>
            <w:tcW w:w="2518" w:type="dxa"/>
            <w:tcBorders>
              <w:top w:val="single" w:sz="4" w:space="0" w:color="000000" w:themeColor="text1"/>
              <w:bottom w:val="single" w:sz="4" w:space="0" w:color="000000" w:themeColor="text1"/>
            </w:tcBorders>
          </w:tcPr>
          <w:p w:rsidR="00C13155" w:rsidRPr="00213448" w:rsidRDefault="00E35920" w:rsidP="00C13155">
            <w:pPr>
              <w:pStyle w:val="Tabletext"/>
            </w:pPr>
            <w:r>
              <w:t>Associations of child socioeconomic status</w:t>
            </w:r>
            <w:r w:rsidR="00C13155" w:rsidRPr="00213448">
              <w:t xml:space="preserve"> and mortality</w:t>
            </w:r>
          </w:p>
        </w:tc>
        <w:tc>
          <w:tcPr>
            <w:tcW w:w="1843" w:type="dxa"/>
            <w:tcBorders>
              <w:top w:val="single" w:sz="4" w:space="0" w:color="000000" w:themeColor="text1"/>
              <w:bottom w:val="single" w:sz="4" w:space="0" w:color="000000" w:themeColor="text1"/>
            </w:tcBorders>
          </w:tcPr>
          <w:p w:rsidR="00C13155" w:rsidRPr="00213448" w:rsidRDefault="00C13155" w:rsidP="00C13155">
            <w:pPr>
              <w:pStyle w:val="Tabletext"/>
            </w:pPr>
            <w:proofErr w:type="spellStart"/>
            <w:r w:rsidRPr="00213448">
              <w:t>Lawlor</w:t>
            </w:r>
            <w:proofErr w:type="spellEnd"/>
            <w:r w:rsidRPr="00213448">
              <w:t xml:space="preserve"> et al. (2006)</w:t>
            </w:r>
          </w:p>
        </w:tc>
        <w:tc>
          <w:tcPr>
            <w:tcW w:w="1276"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Sweden</w:t>
            </w:r>
          </w:p>
        </w:tc>
        <w:tc>
          <w:tcPr>
            <w:tcW w:w="3367" w:type="dxa"/>
            <w:tcBorders>
              <w:top w:val="single" w:sz="4" w:space="0" w:color="000000" w:themeColor="text1"/>
              <w:bottom w:val="single" w:sz="4" w:space="0" w:color="000000" w:themeColor="text1"/>
            </w:tcBorders>
          </w:tcPr>
          <w:p w:rsidR="00C13155" w:rsidRPr="00213448" w:rsidRDefault="00C13155" w:rsidP="00921EC7">
            <w:pPr>
              <w:pStyle w:val="Tabletext"/>
              <w:numPr>
                <w:ilvl w:val="0"/>
                <w:numId w:val="4"/>
              </w:numPr>
              <w:ind w:left="284" w:hanging="284"/>
            </w:pPr>
            <w:r w:rsidRPr="00213448">
              <w:t>Swedish Multi-generation Register</w:t>
            </w:r>
          </w:p>
          <w:p w:rsidR="00C13155" w:rsidRPr="00213448" w:rsidRDefault="00C13155" w:rsidP="00921EC7">
            <w:pPr>
              <w:pStyle w:val="Tabletext"/>
              <w:numPr>
                <w:ilvl w:val="0"/>
                <w:numId w:val="4"/>
              </w:numPr>
              <w:ind w:left="284" w:hanging="284"/>
            </w:pPr>
            <w:r w:rsidRPr="00213448">
              <w:t>Swedish Cause of Death Register</w:t>
            </w:r>
          </w:p>
          <w:p w:rsidR="00C13155" w:rsidRPr="00213448" w:rsidRDefault="00C13155" w:rsidP="00921EC7">
            <w:pPr>
              <w:pStyle w:val="Tabletext"/>
              <w:numPr>
                <w:ilvl w:val="0"/>
                <w:numId w:val="4"/>
              </w:numPr>
              <w:ind w:left="284" w:hanging="284"/>
            </w:pPr>
            <w:r w:rsidRPr="00213448">
              <w:t>Swedish Census</w:t>
            </w:r>
          </w:p>
        </w:tc>
      </w:tr>
      <w:tr w:rsidR="00A32E25" w:rsidRPr="00213448" w:rsidTr="00921EC7">
        <w:tc>
          <w:tcPr>
            <w:tcW w:w="2518" w:type="dxa"/>
            <w:tcBorders>
              <w:top w:val="single" w:sz="4" w:space="0" w:color="000000" w:themeColor="text1"/>
              <w:bottom w:val="single" w:sz="4" w:space="0" w:color="000000" w:themeColor="text1"/>
            </w:tcBorders>
          </w:tcPr>
          <w:p w:rsidR="00A32E25" w:rsidRPr="00213448" w:rsidRDefault="00A32E25" w:rsidP="00C13155">
            <w:pPr>
              <w:pStyle w:val="Tabletext"/>
            </w:pPr>
            <w:r>
              <w:t>Impact of adolescent socioeconomic status on higher education participation</w:t>
            </w:r>
          </w:p>
        </w:tc>
        <w:tc>
          <w:tcPr>
            <w:tcW w:w="1843" w:type="dxa"/>
            <w:tcBorders>
              <w:top w:val="single" w:sz="4" w:space="0" w:color="000000" w:themeColor="text1"/>
              <w:bottom w:val="single" w:sz="4" w:space="0" w:color="000000" w:themeColor="text1"/>
            </w:tcBorders>
          </w:tcPr>
          <w:p w:rsidR="00A32E25" w:rsidRPr="00213448" w:rsidRDefault="00A32E25" w:rsidP="00C13155">
            <w:pPr>
              <w:pStyle w:val="Tabletext"/>
            </w:pPr>
            <w:proofErr w:type="spellStart"/>
            <w:r>
              <w:t>Chowdry</w:t>
            </w:r>
            <w:proofErr w:type="spellEnd"/>
            <w:r>
              <w:t xml:space="preserve"> et al. (2008)</w:t>
            </w:r>
          </w:p>
        </w:tc>
        <w:tc>
          <w:tcPr>
            <w:tcW w:w="1276" w:type="dxa"/>
            <w:tcBorders>
              <w:top w:val="single" w:sz="4" w:space="0" w:color="000000" w:themeColor="text1"/>
              <w:bottom w:val="single" w:sz="4" w:space="0" w:color="000000" w:themeColor="text1"/>
            </w:tcBorders>
          </w:tcPr>
          <w:p w:rsidR="00A32E25" w:rsidRPr="00213448" w:rsidRDefault="00A32E25" w:rsidP="00C13155">
            <w:pPr>
              <w:pStyle w:val="Tabletext"/>
            </w:pPr>
            <w:r>
              <w:t>UK</w:t>
            </w:r>
          </w:p>
        </w:tc>
        <w:tc>
          <w:tcPr>
            <w:tcW w:w="3367" w:type="dxa"/>
            <w:tcBorders>
              <w:top w:val="single" w:sz="4" w:space="0" w:color="000000" w:themeColor="text1"/>
              <w:bottom w:val="single" w:sz="4" w:space="0" w:color="000000" w:themeColor="text1"/>
            </w:tcBorders>
          </w:tcPr>
          <w:p w:rsidR="00A32E25" w:rsidRDefault="00A32E25" w:rsidP="00921EC7">
            <w:pPr>
              <w:pStyle w:val="Tabletext"/>
              <w:numPr>
                <w:ilvl w:val="0"/>
                <w:numId w:val="4"/>
              </w:numPr>
              <w:ind w:left="284" w:hanging="284"/>
            </w:pPr>
            <w:r>
              <w:t>English National Pupil Database</w:t>
            </w:r>
          </w:p>
          <w:p w:rsidR="00A32E25" w:rsidRPr="00A32E25" w:rsidRDefault="00A32E25" w:rsidP="00921EC7">
            <w:pPr>
              <w:pStyle w:val="Tabletext"/>
              <w:numPr>
                <w:ilvl w:val="0"/>
                <w:numId w:val="4"/>
              </w:numPr>
              <w:ind w:left="284" w:hanging="284"/>
            </w:pPr>
            <w:r>
              <w:t>Higher Education Statistics Agency Student Records</w:t>
            </w:r>
          </w:p>
        </w:tc>
      </w:tr>
      <w:tr w:rsidR="00C13155" w:rsidRPr="00213448" w:rsidTr="00921EC7">
        <w:tc>
          <w:tcPr>
            <w:tcW w:w="2518"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Academic and social outcomes for high-risk youth</w:t>
            </w:r>
          </w:p>
        </w:tc>
        <w:tc>
          <w:tcPr>
            <w:tcW w:w="1843"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Brownell et al. (2010)</w:t>
            </w:r>
          </w:p>
        </w:tc>
        <w:tc>
          <w:tcPr>
            <w:tcW w:w="1276"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Canada</w:t>
            </w:r>
          </w:p>
        </w:tc>
        <w:tc>
          <w:tcPr>
            <w:tcW w:w="3367" w:type="dxa"/>
            <w:tcBorders>
              <w:top w:val="single" w:sz="4" w:space="0" w:color="000000" w:themeColor="text1"/>
              <w:bottom w:val="single" w:sz="4" w:space="0" w:color="000000" w:themeColor="text1"/>
            </w:tcBorders>
          </w:tcPr>
          <w:p w:rsidR="00C13155" w:rsidRPr="00213448" w:rsidRDefault="00C13155" w:rsidP="00921EC7">
            <w:pPr>
              <w:pStyle w:val="Tabletext"/>
              <w:numPr>
                <w:ilvl w:val="0"/>
                <w:numId w:val="4"/>
              </w:numPr>
              <w:ind w:left="284" w:hanging="284"/>
            </w:pPr>
            <w:r w:rsidRPr="00213448">
              <w:t>Manitoba Population Health Research Data Repository</w:t>
            </w:r>
          </w:p>
        </w:tc>
      </w:tr>
      <w:tr w:rsidR="00C13155" w:rsidRPr="00213448" w:rsidTr="00921EC7">
        <w:tc>
          <w:tcPr>
            <w:tcW w:w="2518"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Biologic versus social predictors of childhood health and educational outcomes</w:t>
            </w:r>
          </w:p>
        </w:tc>
        <w:tc>
          <w:tcPr>
            <w:tcW w:w="1843" w:type="dxa"/>
            <w:tcBorders>
              <w:top w:val="single" w:sz="4" w:space="0" w:color="000000" w:themeColor="text1"/>
              <w:bottom w:val="single" w:sz="4" w:space="0" w:color="000000" w:themeColor="text1"/>
            </w:tcBorders>
          </w:tcPr>
          <w:p w:rsidR="00C13155" w:rsidRPr="00213448" w:rsidRDefault="00C13155" w:rsidP="00C13155">
            <w:pPr>
              <w:pStyle w:val="Tabletext"/>
            </w:pPr>
            <w:proofErr w:type="spellStart"/>
            <w:r w:rsidRPr="00213448">
              <w:t>Jutte</w:t>
            </w:r>
            <w:proofErr w:type="spellEnd"/>
            <w:r w:rsidR="00BB2890">
              <w:t>, Brownell et al. (2010</w:t>
            </w:r>
            <w:r w:rsidRPr="00213448">
              <w:t>)</w:t>
            </w:r>
          </w:p>
        </w:tc>
        <w:tc>
          <w:tcPr>
            <w:tcW w:w="1276"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Canada</w:t>
            </w:r>
          </w:p>
        </w:tc>
        <w:tc>
          <w:tcPr>
            <w:tcW w:w="3367" w:type="dxa"/>
            <w:tcBorders>
              <w:top w:val="single" w:sz="4" w:space="0" w:color="000000" w:themeColor="text1"/>
              <w:bottom w:val="single" w:sz="4" w:space="0" w:color="000000" w:themeColor="text1"/>
            </w:tcBorders>
          </w:tcPr>
          <w:p w:rsidR="00C13155" w:rsidRPr="00213448" w:rsidRDefault="00C13155" w:rsidP="00921EC7">
            <w:pPr>
              <w:pStyle w:val="Tabletext"/>
              <w:numPr>
                <w:ilvl w:val="0"/>
                <w:numId w:val="4"/>
              </w:numPr>
              <w:ind w:left="284" w:hanging="284"/>
            </w:pPr>
            <w:r w:rsidRPr="00213448">
              <w:t>Manitoba Population Health Research Data Repository</w:t>
            </w:r>
          </w:p>
        </w:tc>
      </w:tr>
      <w:tr w:rsidR="00C13155" w:rsidRPr="00213448" w:rsidTr="00921EC7">
        <w:tc>
          <w:tcPr>
            <w:tcW w:w="2518"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Social, educational, and medical outcomes for children of teenage mothers</w:t>
            </w:r>
          </w:p>
        </w:tc>
        <w:tc>
          <w:tcPr>
            <w:tcW w:w="1843" w:type="dxa"/>
            <w:tcBorders>
              <w:top w:val="single" w:sz="4" w:space="0" w:color="000000" w:themeColor="text1"/>
              <w:bottom w:val="single" w:sz="4" w:space="0" w:color="000000" w:themeColor="text1"/>
            </w:tcBorders>
          </w:tcPr>
          <w:p w:rsidR="00C13155" w:rsidRPr="00213448" w:rsidRDefault="00C13155" w:rsidP="00C13155">
            <w:pPr>
              <w:pStyle w:val="Tabletext"/>
            </w:pPr>
            <w:proofErr w:type="spellStart"/>
            <w:r w:rsidRPr="00213448">
              <w:t>Jutte</w:t>
            </w:r>
            <w:proofErr w:type="spellEnd"/>
            <w:r w:rsidR="00BB2890">
              <w:t xml:space="preserve">, </w:t>
            </w:r>
            <w:proofErr w:type="spellStart"/>
            <w:r w:rsidR="00BB2890">
              <w:t>Roos</w:t>
            </w:r>
            <w:proofErr w:type="spellEnd"/>
            <w:r w:rsidR="00BB2890">
              <w:t xml:space="preserve"> et al. (2010</w:t>
            </w:r>
            <w:r w:rsidRPr="00213448">
              <w:t>)</w:t>
            </w:r>
          </w:p>
        </w:tc>
        <w:tc>
          <w:tcPr>
            <w:tcW w:w="1276"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Canada</w:t>
            </w:r>
          </w:p>
        </w:tc>
        <w:tc>
          <w:tcPr>
            <w:tcW w:w="3367" w:type="dxa"/>
            <w:tcBorders>
              <w:top w:val="single" w:sz="4" w:space="0" w:color="000000" w:themeColor="text1"/>
              <w:bottom w:val="single" w:sz="4" w:space="0" w:color="000000" w:themeColor="text1"/>
            </w:tcBorders>
          </w:tcPr>
          <w:p w:rsidR="00C13155" w:rsidRPr="00213448" w:rsidRDefault="00C13155" w:rsidP="00921EC7">
            <w:pPr>
              <w:pStyle w:val="Tabletext"/>
              <w:numPr>
                <w:ilvl w:val="0"/>
                <w:numId w:val="4"/>
              </w:numPr>
              <w:ind w:left="284" w:hanging="284"/>
            </w:pPr>
            <w:r w:rsidRPr="00213448">
              <w:t>Manitoba Population Health Research Data Repository</w:t>
            </w:r>
          </w:p>
        </w:tc>
      </w:tr>
      <w:tr w:rsidR="00C13155" w:rsidRPr="00213448" w:rsidTr="00921EC7">
        <w:tc>
          <w:tcPr>
            <w:tcW w:w="2518"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Effects of parental occupation on low birth weight</w:t>
            </w:r>
          </w:p>
        </w:tc>
        <w:tc>
          <w:tcPr>
            <w:tcW w:w="1843"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Li et al. (2010)</w:t>
            </w:r>
          </w:p>
        </w:tc>
        <w:tc>
          <w:tcPr>
            <w:tcW w:w="1276"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Sweden</w:t>
            </w:r>
          </w:p>
        </w:tc>
        <w:tc>
          <w:tcPr>
            <w:tcW w:w="3367" w:type="dxa"/>
            <w:tcBorders>
              <w:top w:val="single" w:sz="4" w:space="0" w:color="000000" w:themeColor="text1"/>
              <w:bottom w:val="single" w:sz="4" w:space="0" w:color="000000" w:themeColor="text1"/>
            </w:tcBorders>
          </w:tcPr>
          <w:p w:rsidR="00C13155" w:rsidRPr="00213448" w:rsidRDefault="00C13155" w:rsidP="00921EC7">
            <w:pPr>
              <w:pStyle w:val="Tabletext"/>
              <w:numPr>
                <w:ilvl w:val="0"/>
                <w:numId w:val="4"/>
              </w:numPr>
              <w:ind w:left="284" w:hanging="284"/>
            </w:pPr>
            <w:proofErr w:type="spellStart"/>
            <w:r w:rsidRPr="00213448">
              <w:t>WomMed</w:t>
            </w:r>
            <w:proofErr w:type="spellEnd"/>
            <w:r w:rsidRPr="00213448">
              <w:t xml:space="preserve"> II</w:t>
            </w:r>
            <w:r w:rsidRPr="00213448">
              <w:rPr>
                <w:rStyle w:val="FootnoteReference"/>
              </w:rPr>
              <w:footnoteReference w:id="7"/>
            </w:r>
          </w:p>
          <w:p w:rsidR="00C13155" w:rsidRPr="00213448" w:rsidRDefault="00C13155" w:rsidP="00921EC7">
            <w:pPr>
              <w:pStyle w:val="Tabletext"/>
              <w:numPr>
                <w:ilvl w:val="0"/>
                <w:numId w:val="4"/>
              </w:numPr>
              <w:ind w:left="284" w:hanging="284"/>
            </w:pPr>
            <w:r w:rsidRPr="00213448">
              <w:t>Swedish Census</w:t>
            </w:r>
          </w:p>
        </w:tc>
      </w:tr>
      <w:tr w:rsidR="00C13155" w:rsidRPr="00213448" w:rsidTr="00921EC7">
        <w:tc>
          <w:tcPr>
            <w:tcW w:w="2518"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Development characteristics at age five as predictors of reading and numeracy skills three to seven years later</w:t>
            </w:r>
          </w:p>
        </w:tc>
        <w:tc>
          <w:tcPr>
            <w:tcW w:w="1843" w:type="dxa"/>
            <w:tcBorders>
              <w:top w:val="single" w:sz="4" w:space="0" w:color="000000" w:themeColor="text1"/>
              <w:bottom w:val="single" w:sz="4" w:space="0" w:color="000000" w:themeColor="text1"/>
            </w:tcBorders>
          </w:tcPr>
          <w:p w:rsidR="00BB2890" w:rsidRPr="00BB2890" w:rsidRDefault="008C1101" w:rsidP="00921EC7">
            <w:pPr>
              <w:pStyle w:val="Tabletext"/>
            </w:pPr>
            <w:r>
              <w:t>Gregory</w:t>
            </w:r>
            <w:r w:rsidR="004A317E">
              <w:t xml:space="preserve"> (</w:t>
            </w:r>
            <w:r>
              <w:t>2012</w:t>
            </w:r>
            <w:r w:rsidR="00C13155" w:rsidRPr="00213448">
              <w:t>)</w:t>
            </w:r>
          </w:p>
        </w:tc>
        <w:tc>
          <w:tcPr>
            <w:tcW w:w="1276"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Australia</w:t>
            </w:r>
          </w:p>
        </w:tc>
        <w:tc>
          <w:tcPr>
            <w:tcW w:w="3367" w:type="dxa"/>
            <w:tcBorders>
              <w:top w:val="single" w:sz="4" w:space="0" w:color="000000" w:themeColor="text1"/>
              <w:bottom w:val="single" w:sz="4" w:space="0" w:color="000000" w:themeColor="text1"/>
            </w:tcBorders>
          </w:tcPr>
          <w:p w:rsidR="00C13155" w:rsidRPr="00213448" w:rsidRDefault="00E35920" w:rsidP="00921EC7">
            <w:pPr>
              <w:pStyle w:val="Tabletext"/>
              <w:numPr>
                <w:ilvl w:val="0"/>
                <w:numId w:val="4"/>
              </w:numPr>
              <w:ind w:left="284" w:hanging="284"/>
            </w:pPr>
            <w:r>
              <w:t xml:space="preserve">Australian </w:t>
            </w:r>
            <w:r w:rsidR="00C13155" w:rsidRPr="00213448">
              <w:t>Early Development Index</w:t>
            </w:r>
          </w:p>
          <w:p w:rsidR="00C13155" w:rsidRPr="00213448" w:rsidRDefault="00C13155" w:rsidP="00921EC7">
            <w:pPr>
              <w:pStyle w:val="Tabletext"/>
              <w:numPr>
                <w:ilvl w:val="0"/>
                <w:numId w:val="4"/>
              </w:numPr>
              <w:ind w:left="284" w:hanging="284"/>
            </w:pPr>
            <w:r w:rsidRPr="00213448">
              <w:t>Western Australian Literacy and Numeracy Assessment</w:t>
            </w:r>
          </w:p>
          <w:p w:rsidR="00C13155" w:rsidRPr="00213448" w:rsidRDefault="00BB2890" w:rsidP="00921EC7">
            <w:pPr>
              <w:pStyle w:val="Tabletext"/>
              <w:numPr>
                <w:ilvl w:val="0"/>
                <w:numId w:val="4"/>
              </w:numPr>
              <w:ind w:left="284" w:hanging="284"/>
            </w:pPr>
            <w:r>
              <w:t>NAPLAN</w:t>
            </w:r>
          </w:p>
        </w:tc>
      </w:tr>
      <w:tr w:rsidR="00C13155" w:rsidRPr="00213448" w:rsidTr="00921EC7">
        <w:tc>
          <w:tcPr>
            <w:tcW w:w="2518"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Impact of social and clinical background factors on school readiness</w:t>
            </w:r>
          </w:p>
        </w:tc>
        <w:tc>
          <w:tcPr>
            <w:tcW w:w="1843" w:type="dxa"/>
            <w:tcBorders>
              <w:top w:val="single" w:sz="4" w:space="0" w:color="000000" w:themeColor="text1"/>
              <w:bottom w:val="single" w:sz="4" w:space="0" w:color="000000" w:themeColor="text1"/>
            </w:tcBorders>
          </w:tcPr>
          <w:p w:rsidR="00BB2890" w:rsidRPr="00BB2890" w:rsidRDefault="004A317E" w:rsidP="00921EC7">
            <w:pPr>
              <w:pStyle w:val="Tabletext"/>
            </w:pPr>
            <w:r>
              <w:t>Lynch (</w:t>
            </w:r>
            <w:r w:rsidR="008C1101">
              <w:t>2012</w:t>
            </w:r>
            <w:r w:rsidR="00C13155" w:rsidRPr="00213448">
              <w:t>)</w:t>
            </w:r>
          </w:p>
        </w:tc>
        <w:tc>
          <w:tcPr>
            <w:tcW w:w="1276" w:type="dxa"/>
            <w:tcBorders>
              <w:top w:val="single" w:sz="4" w:space="0" w:color="000000" w:themeColor="text1"/>
              <w:bottom w:val="single" w:sz="4" w:space="0" w:color="000000" w:themeColor="text1"/>
            </w:tcBorders>
          </w:tcPr>
          <w:p w:rsidR="00C13155" w:rsidRPr="00213448" w:rsidRDefault="00C13155" w:rsidP="00C13155">
            <w:pPr>
              <w:pStyle w:val="Tabletext"/>
            </w:pPr>
            <w:r w:rsidRPr="00213448">
              <w:t>Australia</w:t>
            </w:r>
          </w:p>
        </w:tc>
        <w:tc>
          <w:tcPr>
            <w:tcW w:w="3367" w:type="dxa"/>
            <w:tcBorders>
              <w:top w:val="single" w:sz="4" w:space="0" w:color="000000" w:themeColor="text1"/>
              <w:bottom w:val="single" w:sz="4" w:space="0" w:color="000000" w:themeColor="text1"/>
            </w:tcBorders>
          </w:tcPr>
          <w:p w:rsidR="00C13155" w:rsidRPr="00213448" w:rsidRDefault="00C13155" w:rsidP="00921EC7">
            <w:pPr>
              <w:pStyle w:val="Tabletext"/>
              <w:numPr>
                <w:ilvl w:val="0"/>
                <w:numId w:val="4"/>
              </w:numPr>
              <w:ind w:left="284" w:hanging="284"/>
            </w:pPr>
            <w:r w:rsidRPr="00213448">
              <w:t>Births, Deaths and Marriages</w:t>
            </w:r>
          </w:p>
          <w:p w:rsidR="00C13155" w:rsidRPr="00213448" w:rsidRDefault="00C13155" w:rsidP="00921EC7">
            <w:pPr>
              <w:pStyle w:val="Tabletext"/>
              <w:numPr>
                <w:ilvl w:val="0"/>
                <w:numId w:val="4"/>
              </w:numPr>
              <w:ind w:left="284" w:hanging="284"/>
            </w:pPr>
            <w:r w:rsidRPr="00213448">
              <w:t>Children, Youth and Women’s Health</w:t>
            </w:r>
            <w:r w:rsidR="00921EC7">
              <w:t> </w:t>
            </w:r>
            <w:r w:rsidR="00BB2890">
              <w:t>Service: Child Health Record (0–</w:t>
            </w:r>
            <w:r w:rsidRPr="00213448">
              <w:t>4 years)</w:t>
            </w:r>
          </w:p>
          <w:p w:rsidR="00C13155" w:rsidRPr="00213448" w:rsidRDefault="00C13155" w:rsidP="00921EC7">
            <w:pPr>
              <w:pStyle w:val="Tabletext"/>
              <w:numPr>
                <w:ilvl w:val="0"/>
                <w:numId w:val="4"/>
              </w:numPr>
              <w:ind w:left="284" w:hanging="284"/>
            </w:pPr>
            <w:r w:rsidRPr="00213448">
              <w:t xml:space="preserve">SA Health: Integrated South Australian Activity Collection, Emergency Department Data Collection, </w:t>
            </w:r>
            <w:proofErr w:type="spellStart"/>
            <w:r w:rsidRPr="00213448">
              <w:t>Perinatal</w:t>
            </w:r>
            <w:proofErr w:type="spellEnd"/>
            <w:r w:rsidRPr="00213448">
              <w:t xml:space="preserve"> Data Collection</w:t>
            </w:r>
          </w:p>
          <w:p w:rsidR="00C13155" w:rsidRPr="00213448" w:rsidRDefault="00C13155" w:rsidP="00921EC7">
            <w:pPr>
              <w:pStyle w:val="Tabletext"/>
              <w:numPr>
                <w:ilvl w:val="0"/>
                <w:numId w:val="4"/>
              </w:numPr>
              <w:ind w:left="284" w:hanging="284"/>
            </w:pPr>
            <w:r w:rsidRPr="00213448">
              <w:t>SA Schoo</w:t>
            </w:r>
            <w:r w:rsidR="00E35920">
              <w:t xml:space="preserve">l Enrolment Census, NAPLAN, Australian </w:t>
            </w:r>
            <w:r w:rsidR="00E35920" w:rsidRPr="00213448">
              <w:t>Early Development Index</w:t>
            </w:r>
          </w:p>
        </w:tc>
      </w:tr>
    </w:tbl>
    <w:p w:rsidR="00C13155" w:rsidRPr="00213448" w:rsidRDefault="00C13155" w:rsidP="00921EC7">
      <w:pPr>
        <w:pStyle w:val="Source"/>
      </w:pPr>
      <w:r w:rsidRPr="00213448">
        <w:t>Note:</w:t>
      </w:r>
      <w:r w:rsidR="00921EC7">
        <w:tab/>
      </w:r>
      <w:r w:rsidR="00E35920">
        <w:t>Studies</w:t>
      </w:r>
      <w:r w:rsidRPr="00213448">
        <w:t xml:space="preserve"> are </w:t>
      </w:r>
      <w:r w:rsidR="00E35920">
        <w:t xml:space="preserve">listed </w:t>
      </w:r>
      <w:r w:rsidRPr="00213448">
        <w:t>in chronological order. Full</w:t>
      </w:r>
      <w:r w:rsidR="008C69C1">
        <w:t xml:space="preserve"> citations are provided in the r</w:t>
      </w:r>
      <w:r w:rsidRPr="00213448">
        <w:t>eferences section.</w:t>
      </w:r>
    </w:p>
    <w:p w:rsidR="005B4232" w:rsidRDefault="005B4232">
      <w:pPr>
        <w:spacing w:before="0" w:line="240" w:lineRule="auto"/>
      </w:pPr>
      <w:r>
        <w:br w:type="page"/>
      </w:r>
    </w:p>
    <w:p w:rsidR="00065EE0" w:rsidRDefault="00065EE0" w:rsidP="00921EC7">
      <w:pPr>
        <w:pStyle w:val="Text"/>
      </w:pPr>
      <w:r>
        <w:lastRenderedPageBreak/>
        <w:t>The Longitudinal Stu</w:t>
      </w:r>
      <w:r w:rsidR="00602440">
        <w:t>dy of Australian Children</w:t>
      </w:r>
      <w:r>
        <w:t xml:space="preserve"> provides a successful model of linking administrative data to a flagship longitudinal survey. </w:t>
      </w:r>
      <w:r w:rsidRPr="00213448">
        <w:t xml:space="preserve">Conducted in partnership with the Department of Families, Housing, Community Services </w:t>
      </w:r>
      <w:r w:rsidRPr="00921EC7">
        <w:t>and</w:t>
      </w:r>
      <w:r w:rsidRPr="00213448">
        <w:t xml:space="preserve"> Indigenous Affairs (</w:t>
      </w:r>
      <w:proofErr w:type="spellStart"/>
      <w:r w:rsidRPr="00213448">
        <w:t>FaHCSIA</w:t>
      </w:r>
      <w:proofErr w:type="spellEnd"/>
      <w:r w:rsidRPr="00213448">
        <w:t xml:space="preserve">), the Australian Institute of Family Studies (AIFS) and the </w:t>
      </w:r>
      <w:r>
        <w:t>Australian Bureau of Statistics (</w:t>
      </w:r>
      <w:r w:rsidRPr="00213448">
        <w:t>ABS</w:t>
      </w:r>
      <w:r>
        <w:t>)</w:t>
      </w:r>
      <w:r w:rsidRPr="00213448">
        <w:t xml:space="preserve">, </w:t>
      </w:r>
      <w:r w:rsidR="0004361E">
        <w:t>the Longitudinal Study of Australian Children</w:t>
      </w:r>
      <w:r w:rsidRPr="00213448">
        <w:t xml:space="preserve"> (also known as </w:t>
      </w:r>
      <w:r w:rsidRPr="00213448">
        <w:rPr>
          <w:i/>
        </w:rPr>
        <w:t xml:space="preserve">Growing </w:t>
      </w:r>
      <w:proofErr w:type="gramStart"/>
      <w:r w:rsidRPr="00213448">
        <w:rPr>
          <w:i/>
        </w:rPr>
        <w:t>Up</w:t>
      </w:r>
      <w:proofErr w:type="gramEnd"/>
      <w:r w:rsidRPr="00213448">
        <w:rPr>
          <w:i/>
        </w:rPr>
        <w:t xml:space="preserve"> in Australia</w:t>
      </w:r>
      <w:r w:rsidRPr="00213448">
        <w:t xml:space="preserve">) </w:t>
      </w:r>
      <w:r>
        <w:t xml:space="preserve">collects data to answer the following broad research questions (see </w:t>
      </w:r>
      <w:r w:rsidRPr="00BD54CB">
        <w:t>Rogers et al. 2009):</w:t>
      </w:r>
    </w:p>
    <w:p w:rsidR="00065EE0" w:rsidRPr="00921EC7" w:rsidRDefault="00065EE0" w:rsidP="00921EC7">
      <w:pPr>
        <w:pStyle w:val="Dotpoint1"/>
      </w:pPr>
      <w:r w:rsidRPr="00D372F1">
        <w:t>What are the child</w:t>
      </w:r>
      <w:r>
        <w:t>hood experiences and conditions</w:t>
      </w:r>
      <w:r w:rsidRPr="00D372F1">
        <w:t xml:space="preserve"> that impact on child, adolescent and adult outcomes and </w:t>
      </w:r>
      <w:r>
        <w:t xml:space="preserve">on </w:t>
      </w:r>
      <w:r w:rsidRPr="00921EC7">
        <w:t>trajectories of development?</w:t>
      </w:r>
    </w:p>
    <w:p w:rsidR="00065EE0" w:rsidRPr="00921EC7" w:rsidRDefault="00065EE0" w:rsidP="00921EC7">
      <w:pPr>
        <w:pStyle w:val="Dotpoint1"/>
      </w:pPr>
      <w:r w:rsidRPr="00921EC7">
        <w:t>What are the mechanisms underlying linkages and interactions and how do these change over time?</w:t>
      </w:r>
    </w:p>
    <w:p w:rsidR="00065EE0" w:rsidRPr="00D372F1" w:rsidRDefault="00065EE0" w:rsidP="00921EC7">
      <w:pPr>
        <w:pStyle w:val="Dotpoint1"/>
      </w:pPr>
      <w:r w:rsidRPr="00921EC7">
        <w:t>What factors protect</w:t>
      </w:r>
      <w:r w:rsidRPr="00D372F1">
        <w:t xml:space="preserve"> children from events or contexts that increase the risk of poor outcomes?</w:t>
      </w:r>
    </w:p>
    <w:p w:rsidR="00065EE0" w:rsidRDefault="00E63793" w:rsidP="006861FD">
      <w:pPr>
        <w:pStyle w:val="Text"/>
        <w:ind w:right="141"/>
      </w:pPr>
      <w:r>
        <w:t>The Longitudinal Study of Australian Children</w:t>
      </w:r>
      <w:r w:rsidR="00A24F33">
        <w:t xml:space="preserve"> has recruited approximately 10 </w:t>
      </w:r>
      <w:r w:rsidR="00065EE0">
        <w:t>000 families across Australia to examine</w:t>
      </w:r>
      <w:r w:rsidR="00602440">
        <w:t xml:space="preserve"> child development and follows</w:t>
      </w:r>
      <w:r w:rsidR="00065EE0" w:rsidRPr="00213448">
        <w:t xml:space="preserve"> two cohor</w:t>
      </w:r>
      <w:r w:rsidR="00065EE0">
        <w:t xml:space="preserve">ts of children: those who were </w:t>
      </w:r>
      <w:r>
        <w:t>aged 0—</w:t>
      </w:r>
      <w:r w:rsidR="00065EE0">
        <w:t>1 years of age in 2004 (‘infant</w:t>
      </w:r>
      <w:r w:rsidR="00065EE0" w:rsidRPr="00213448">
        <w:t xml:space="preserve"> cohor</w:t>
      </w:r>
      <w:r>
        <w:t>t’) and those who were 4—</w:t>
      </w:r>
      <w:r w:rsidR="00065EE0">
        <w:t>5 years of age in the year 2004 (‘child</w:t>
      </w:r>
      <w:r>
        <w:t xml:space="preserve"> cohort’). The two cohorts are currently aged 9—10 and 13—</w:t>
      </w:r>
      <w:r w:rsidR="005B4232">
        <w:t>14</w:t>
      </w:r>
      <w:r>
        <w:t xml:space="preserve"> years and</w:t>
      </w:r>
      <w:r w:rsidR="00065EE0" w:rsidRPr="00213448">
        <w:t xml:space="preserve"> </w:t>
      </w:r>
      <w:r w:rsidR="005B4232">
        <w:t xml:space="preserve">data collection </w:t>
      </w:r>
      <w:r>
        <w:t>for both</w:t>
      </w:r>
      <w:r w:rsidR="00065EE0" w:rsidRPr="00213448">
        <w:t xml:space="preserve"> </w:t>
      </w:r>
      <w:r w:rsidR="005B4232">
        <w:t>is plan</w:t>
      </w:r>
      <w:r w:rsidR="003D5FF1">
        <w:t>n</w:t>
      </w:r>
      <w:r w:rsidR="005B4232">
        <w:t>ed to continue to cover the transition into adulthood</w:t>
      </w:r>
      <w:r w:rsidR="00065EE0" w:rsidRPr="00213448">
        <w:t>.</w:t>
      </w:r>
      <w:r w:rsidR="00065EE0">
        <w:t xml:space="preserve"> Data are collected on a bi-annual basis. Table 4 provides a brief overview of </w:t>
      </w:r>
      <w:r w:rsidR="00FC7CA4">
        <w:t>the</w:t>
      </w:r>
      <w:r w:rsidR="00065EE0">
        <w:t xml:space="preserve"> characteristics</w:t>
      </w:r>
      <w:r w:rsidR="00FC7CA4">
        <w:t xml:space="preserve"> of the Longitudinal Study of Australian Children</w:t>
      </w:r>
      <w:r w:rsidR="00065EE0">
        <w:t>.</w:t>
      </w:r>
    </w:p>
    <w:p w:rsidR="00065EE0" w:rsidRPr="00213448" w:rsidRDefault="00065EE0" w:rsidP="006861FD">
      <w:pPr>
        <w:pStyle w:val="tabletitle"/>
      </w:pPr>
      <w:bookmarkStart w:id="50" w:name="_Toc358811319"/>
      <w:r w:rsidRPr="00213448">
        <w:t xml:space="preserve">Table </w:t>
      </w:r>
      <w:r>
        <w:t>4</w:t>
      </w:r>
      <w:r>
        <w:tab/>
        <w:t xml:space="preserve">Overview of </w:t>
      </w:r>
      <w:r w:rsidR="00FC7CA4">
        <w:t xml:space="preserve">Longitudinal Study of Australian Children </w:t>
      </w:r>
      <w:r>
        <w:t>characteristics</w:t>
      </w:r>
      <w:bookmarkEnd w:id="50"/>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73"/>
        <w:gridCol w:w="2305"/>
        <w:gridCol w:w="2305"/>
        <w:gridCol w:w="2306"/>
      </w:tblGrid>
      <w:tr w:rsidR="005B4232" w:rsidRPr="00100723" w:rsidTr="006861FD">
        <w:tc>
          <w:tcPr>
            <w:tcW w:w="1873" w:type="dxa"/>
            <w:tcBorders>
              <w:top w:val="single" w:sz="4" w:space="0" w:color="000000" w:themeColor="text1"/>
              <w:bottom w:val="single" w:sz="4" w:space="0" w:color="000000" w:themeColor="text1"/>
            </w:tcBorders>
          </w:tcPr>
          <w:p w:rsidR="005B4232" w:rsidRPr="00100723" w:rsidRDefault="005B4232" w:rsidP="006861FD">
            <w:pPr>
              <w:pStyle w:val="Tablehead1"/>
              <w:rPr>
                <w:bCs/>
              </w:rPr>
            </w:pPr>
            <w:r>
              <w:rPr>
                <w:bCs/>
              </w:rPr>
              <w:t>Cohort</w:t>
            </w:r>
          </w:p>
        </w:tc>
        <w:tc>
          <w:tcPr>
            <w:tcW w:w="2305" w:type="dxa"/>
            <w:tcBorders>
              <w:top w:val="single" w:sz="4" w:space="0" w:color="000000" w:themeColor="text1"/>
              <w:bottom w:val="single" w:sz="4" w:space="0" w:color="000000" w:themeColor="text1"/>
            </w:tcBorders>
          </w:tcPr>
          <w:p w:rsidR="005B4232" w:rsidRPr="00100723" w:rsidRDefault="005B4232" w:rsidP="00065EE0">
            <w:pPr>
              <w:pStyle w:val="Tablehead1"/>
              <w:jc w:val="center"/>
              <w:rPr>
                <w:bCs/>
              </w:rPr>
            </w:pPr>
            <w:r>
              <w:rPr>
                <w:bCs/>
              </w:rPr>
              <w:t>Initial sample size</w:t>
            </w:r>
          </w:p>
        </w:tc>
        <w:tc>
          <w:tcPr>
            <w:tcW w:w="2305" w:type="dxa"/>
            <w:tcBorders>
              <w:top w:val="single" w:sz="4" w:space="0" w:color="000000" w:themeColor="text1"/>
              <w:bottom w:val="single" w:sz="4" w:space="0" w:color="000000" w:themeColor="text1"/>
            </w:tcBorders>
          </w:tcPr>
          <w:p w:rsidR="005B4232" w:rsidRPr="00100723" w:rsidRDefault="005B4232" w:rsidP="00065EE0">
            <w:pPr>
              <w:pStyle w:val="Tablehead1"/>
              <w:jc w:val="center"/>
              <w:rPr>
                <w:bCs/>
              </w:rPr>
            </w:pPr>
            <w:r>
              <w:rPr>
                <w:bCs/>
              </w:rPr>
              <w:t>Survey period</w:t>
            </w:r>
          </w:p>
        </w:tc>
        <w:tc>
          <w:tcPr>
            <w:tcW w:w="2306" w:type="dxa"/>
            <w:tcBorders>
              <w:top w:val="single" w:sz="4" w:space="0" w:color="000000" w:themeColor="text1"/>
              <w:bottom w:val="single" w:sz="4" w:space="0" w:color="000000" w:themeColor="text1"/>
            </w:tcBorders>
          </w:tcPr>
          <w:p w:rsidR="005B4232" w:rsidRPr="00100723" w:rsidRDefault="005B4232" w:rsidP="00065EE0">
            <w:pPr>
              <w:pStyle w:val="Tablehead1"/>
              <w:jc w:val="center"/>
              <w:rPr>
                <w:bCs/>
              </w:rPr>
            </w:pPr>
            <w:r>
              <w:rPr>
                <w:bCs/>
              </w:rPr>
              <w:t>Age at most recent survey wave</w:t>
            </w:r>
          </w:p>
        </w:tc>
      </w:tr>
      <w:tr w:rsidR="005B4232" w:rsidTr="006861FD">
        <w:tc>
          <w:tcPr>
            <w:tcW w:w="1873" w:type="dxa"/>
            <w:tcBorders>
              <w:top w:val="single" w:sz="4" w:space="0" w:color="000000" w:themeColor="text1"/>
            </w:tcBorders>
          </w:tcPr>
          <w:p w:rsidR="005B4232" w:rsidRDefault="005B4232" w:rsidP="006861FD">
            <w:pPr>
              <w:pStyle w:val="Tabletext"/>
            </w:pPr>
            <w:r>
              <w:t>Infant</w:t>
            </w:r>
          </w:p>
        </w:tc>
        <w:tc>
          <w:tcPr>
            <w:tcW w:w="2305" w:type="dxa"/>
            <w:tcBorders>
              <w:top w:val="single" w:sz="4" w:space="0" w:color="000000" w:themeColor="text1"/>
            </w:tcBorders>
          </w:tcPr>
          <w:p w:rsidR="005B4232" w:rsidRPr="002A028F" w:rsidRDefault="00E63793" w:rsidP="00065EE0">
            <w:pPr>
              <w:pStyle w:val="Tabletext"/>
              <w:jc w:val="center"/>
            </w:pPr>
            <w:r>
              <w:t>5</w:t>
            </w:r>
            <w:r w:rsidR="006861FD">
              <w:t xml:space="preserve"> </w:t>
            </w:r>
            <w:r w:rsidR="005B4232" w:rsidRPr="002A028F">
              <w:t>107</w:t>
            </w:r>
          </w:p>
        </w:tc>
        <w:tc>
          <w:tcPr>
            <w:tcW w:w="2305" w:type="dxa"/>
            <w:tcBorders>
              <w:top w:val="single" w:sz="4" w:space="0" w:color="000000" w:themeColor="text1"/>
            </w:tcBorders>
          </w:tcPr>
          <w:p w:rsidR="005B4232" w:rsidRDefault="005B4232" w:rsidP="00065EE0">
            <w:pPr>
              <w:pStyle w:val="Tabletext"/>
              <w:jc w:val="center"/>
            </w:pPr>
            <w:r>
              <w:t xml:space="preserve">2004 – </w:t>
            </w:r>
            <w:r w:rsidR="00604A2B">
              <w:t>open</w:t>
            </w:r>
          </w:p>
        </w:tc>
        <w:tc>
          <w:tcPr>
            <w:tcW w:w="2306" w:type="dxa"/>
            <w:tcBorders>
              <w:top w:val="single" w:sz="4" w:space="0" w:color="000000" w:themeColor="text1"/>
            </w:tcBorders>
          </w:tcPr>
          <w:p w:rsidR="005B4232" w:rsidRPr="00B80C9F" w:rsidRDefault="005B4232" w:rsidP="00065EE0">
            <w:pPr>
              <w:pStyle w:val="Tabletext"/>
              <w:jc w:val="center"/>
            </w:pPr>
            <w:r>
              <w:t>9</w:t>
            </w:r>
            <w:r w:rsidR="00E63793">
              <w:t>–</w:t>
            </w:r>
            <w:r>
              <w:t>10</w:t>
            </w:r>
          </w:p>
        </w:tc>
      </w:tr>
      <w:tr w:rsidR="005B4232" w:rsidTr="006861FD">
        <w:tc>
          <w:tcPr>
            <w:tcW w:w="1873" w:type="dxa"/>
            <w:tcBorders>
              <w:bottom w:val="single" w:sz="4" w:space="0" w:color="000000" w:themeColor="text1"/>
            </w:tcBorders>
          </w:tcPr>
          <w:p w:rsidR="005B4232" w:rsidRDefault="005B4232" w:rsidP="006861FD">
            <w:pPr>
              <w:pStyle w:val="Tabletext"/>
            </w:pPr>
            <w:r>
              <w:t>Child</w:t>
            </w:r>
          </w:p>
        </w:tc>
        <w:tc>
          <w:tcPr>
            <w:tcW w:w="2305" w:type="dxa"/>
            <w:tcBorders>
              <w:bottom w:val="single" w:sz="4" w:space="0" w:color="000000" w:themeColor="text1"/>
            </w:tcBorders>
          </w:tcPr>
          <w:p w:rsidR="005B4232" w:rsidRPr="002A028F" w:rsidRDefault="00E63793" w:rsidP="00065EE0">
            <w:pPr>
              <w:pStyle w:val="Tabletext"/>
              <w:jc w:val="center"/>
            </w:pPr>
            <w:r>
              <w:t>4</w:t>
            </w:r>
            <w:r w:rsidR="006861FD">
              <w:t xml:space="preserve"> </w:t>
            </w:r>
            <w:r w:rsidR="005B4232" w:rsidRPr="002A028F">
              <w:t>983</w:t>
            </w:r>
          </w:p>
        </w:tc>
        <w:tc>
          <w:tcPr>
            <w:tcW w:w="2305" w:type="dxa"/>
            <w:tcBorders>
              <w:bottom w:val="single" w:sz="4" w:space="0" w:color="000000" w:themeColor="text1"/>
            </w:tcBorders>
          </w:tcPr>
          <w:p w:rsidR="005B4232" w:rsidRDefault="00E63793" w:rsidP="00065EE0">
            <w:pPr>
              <w:pStyle w:val="Tabletext"/>
              <w:jc w:val="center"/>
            </w:pPr>
            <w:r>
              <w:t>2004 –</w:t>
            </w:r>
            <w:r w:rsidR="005B4232">
              <w:t xml:space="preserve"> </w:t>
            </w:r>
            <w:r w:rsidR="00604A2B">
              <w:t>open</w:t>
            </w:r>
          </w:p>
        </w:tc>
        <w:tc>
          <w:tcPr>
            <w:tcW w:w="2306" w:type="dxa"/>
            <w:tcBorders>
              <w:bottom w:val="single" w:sz="4" w:space="0" w:color="000000" w:themeColor="text1"/>
            </w:tcBorders>
          </w:tcPr>
          <w:p w:rsidR="005B4232" w:rsidRPr="00B80C9F" w:rsidRDefault="005B4232" w:rsidP="00065EE0">
            <w:pPr>
              <w:pStyle w:val="Tabletext"/>
              <w:jc w:val="center"/>
            </w:pPr>
            <w:r>
              <w:t>13</w:t>
            </w:r>
            <w:r w:rsidR="00E63793">
              <w:t>–</w:t>
            </w:r>
            <w:r w:rsidRPr="00B80C9F">
              <w:t>1</w:t>
            </w:r>
            <w:r>
              <w:t>4</w:t>
            </w:r>
          </w:p>
        </w:tc>
      </w:tr>
    </w:tbl>
    <w:p w:rsidR="00065EE0" w:rsidRDefault="00065EE0" w:rsidP="006861FD">
      <w:pPr>
        <w:pStyle w:val="Textmorebefore"/>
        <w:ind w:right="-143"/>
      </w:pPr>
      <w:r>
        <w:t xml:space="preserve">Information on children is complemented with data from parents as well as teachers or carers. The survey covers 14 major topic areas </w:t>
      </w:r>
      <w:r w:rsidR="00E63793">
        <w:t>r</w:t>
      </w:r>
      <w:r w:rsidR="00602440">
        <w:t>elating</w:t>
      </w:r>
      <w:r w:rsidR="00E63793">
        <w:t xml:space="preserve"> to</w:t>
      </w:r>
      <w:r>
        <w:t xml:space="preserve"> the study child </w:t>
      </w:r>
      <w:r w:rsidR="00E63793">
        <w:t>and its family, as outlined in t</w:t>
      </w:r>
      <w:r>
        <w:t xml:space="preserve">able 5. Further information on </w:t>
      </w:r>
      <w:r w:rsidR="0004361E">
        <w:t>the Longitudinal Study of Australian Children</w:t>
      </w:r>
      <w:r>
        <w:t xml:space="preserve"> is provided in </w:t>
      </w:r>
      <w:proofErr w:type="spellStart"/>
      <w:r>
        <w:t>Sanson</w:t>
      </w:r>
      <w:proofErr w:type="spellEnd"/>
      <w:r>
        <w:t xml:space="preserve"> et al. (2002).</w:t>
      </w:r>
    </w:p>
    <w:p w:rsidR="00065EE0" w:rsidRDefault="00065EE0" w:rsidP="00065EE0">
      <w:pPr>
        <w:pStyle w:val="tabletitle"/>
      </w:pPr>
      <w:bookmarkStart w:id="51" w:name="_Toc358811320"/>
      <w:r>
        <w:t>Table 5</w:t>
      </w:r>
      <w:r>
        <w:tab/>
        <w:t xml:space="preserve">Major </w:t>
      </w:r>
      <w:r w:rsidR="00FC7CA4">
        <w:t xml:space="preserve">Longitudinal Study of Australian Children </w:t>
      </w:r>
      <w:r>
        <w:t>topic areas</w:t>
      </w:r>
      <w:bookmarkEnd w:id="51"/>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4"/>
        <w:gridCol w:w="4395"/>
      </w:tblGrid>
      <w:tr w:rsidR="00065EE0" w:rsidRPr="006861FD" w:rsidTr="006861FD">
        <w:tc>
          <w:tcPr>
            <w:tcW w:w="4394" w:type="dxa"/>
            <w:tcBorders>
              <w:top w:val="single" w:sz="4" w:space="0" w:color="000000" w:themeColor="text1"/>
              <w:bottom w:val="single" w:sz="4" w:space="0" w:color="000000" w:themeColor="text1"/>
            </w:tcBorders>
          </w:tcPr>
          <w:p w:rsidR="00065EE0" w:rsidRPr="006861FD" w:rsidRDefault="00065EE0" w:rsidP="006861FD">
            <w:pPr>
              <w:pStyle w:val="Tablehead1"/>
            </w:pPr>
            <w:r w:rsidRPr="006861FD">
              <w:t>Child-related</w:t>
            </w:r>
          </w:p>
        </w:tc>
        <w:tc>
          <w:tcPr>
            <w:tcW w:w="4395" w:type="dxa"/>
            <w:tcBorders>
              <w:top w:val="single" w:sz="4" w:space="0" w:color="000000" w:themeColor="text1"/>
              <w:bottom w:val="single" w:sz="4" w:space="0" w:color="000000" w:themeColor="text1"/>
            </w:tcBorders>
          </w:tcPr>
          <w:p w:rsidR="00065EE0" w:rsidRPr="006861FD" w:rsidRDefault="00065EE0" w:rsidP="006861FD">
            <w:pPr>
              <w:pStyle w:val="Tablehead1"/>
            </w:pPr>
            <w:r w:rsidRPr="006861FD">
              <w:t>Family-related</w:t>
            </w:r>
          </w:p>
        </w:tc>
      </w:tr>
      <w:tr w:rsidR="00065EE0" w:rsidTr="006861FD">
        <w:tc>
          <w:tcPr>
            <w:tcW w:w="4394" w:type="dxa"/>
            <w:tcBorders>
              <w:top w:val="single" w:sz="4" w:space="0" w:color="000000" w:themeColor="text1"/>
            </w:tcBorders>
          </w:tcPr>
          <w:p w:rsidR="00065EE0" w:rsidRDefault="00065EE0" w:rsidP="00065EE0">
            <w:pPr>
              <w:pStyle w:val="Tabletext"/>
            </w:pPr>
            <w:r>
              <w:t>Developmental foundations</w:t>
            </w:r>
          </w:p>
        </w:tc>
        <w:tc>
          <w:tcPr>
            <w:tcW w:w="4395" w:type="dxa"/>
            <w:tcBorders>
              <w:top w:val="single" w:sz="4" w:space="0" w:color="000000" w:themeColor="text1"/>
            </w:tcBorders>
          </w:tcPr>
          <w:p w:rsidR="00065EE0" w:rsidRDefault="00065EE0" w:rsidP="00065EE0">
            <w:pPr>
              <w:pStyle w:val="Tabletext"/>
            </w:pPr>
            <w:r>
              <w:t>Family characteristics</w:t>
            </w:r>
          </w:p>
        </w:tc>
      </w:tr>
      <w:tr w:rsidR="00065EE0" w:rsidTr="006861FD">
        <w:tc>
          <w:tcPr>
            <w:tcW w:w="4394" w:type="dxa"/>
          </w:tcPr>
          <w:p w:rsidR="00065EE0" w:rsidRDefault="00065EE0" w:rsidP="00065EE0">
            <w:pPr>
              <w:pStyle w:val="Tabletext"/>
            </w:pPr>
            <w:r>
              <w:t>Physical health</w:t>
            </w:r>
          </w:p>
        </w:tc>
        <w:tc>
          <w:tcPr>
            <w:tcW w:w="4395" w:type="dxa"/>
          </w:tcPr>
          <w:p w:rsidR="00065EE0" w:rsidRDefault="00065EE0" w:rsidP="00065EE0">
            <w:pPr>
              <w:pStyle w:val="Tabletext"/>
            </w:pPr>
            <w:r>
              <w:t>Family relationships</w:t>
            </w:r>
          </w:p>
        </w:tc>
      </w:tr>
      <w:tr w:rsidR="00065EE0" w:rsidTr="006861FD">
        <w:tc>
          <w:tcPr>
            <w:tcW w:w="4394" w:type="dxa"/>
          </w:tcPr>
          <w:p w:rsidR="00065EE0" w:rsidRDefault="00065EE0" w:rsidP="00065EE0">
            <w:pPr>
              <w:pStyle w:val="Tabletext"/>
            </w:pPr>
            <w:r>
              <w:t>Social, emotional, behavioural, psychological characteristics</w:t>
            </w:r>
          </w:p>
        </w:tc>
        <w:tc>
          <w:tcPr>
            <w:tcW w:w="4395" w:type="dxa"/>
          </w:tcPr>
          <w:p w:rsidR="00065EE0" w:rsidRDefault="00065EE0" w:rsidP="00065EE0">
            <w:pPr>
              <w:pStyle w:val="Tabletext"/>
            </w:pPr>
            <w:r>
              <w:t>Family interactions, behaviours and wellbeing</w:t>
            </w:r>
          </w:p>
        </w:tc>
      </w:tr>
      <w:tr w:rsidR="00065EE0" w:rsidTr="006861FD">
        <w:tc>
          <w:tcPr>
            <w:tcW w:w="4394" w:type="dxa"/>
          </w:tcPr>
          <w:p w:rsidR="00065EE0" w:rsidRDefault="00065EE0" w:rsidP="00065EE0">
            <w:pPr>
              <w:pStyle w:val="Tabletext"/>
            </w:pPr>
            <w:r>
              <w:t>Time use and activities</w:t>
            </w:r>
          </w:p>
        </w:tc>
        <w:tc>
          <w:tcPr>
            <w:tcW w:w="4395" w:type="dxa"/>
          </w:tcPr>
          <w:p w:rsidR="00065EE0" w:rsidRDefault="00065EE0" w:rsidP="00065EE0">
            <w:pPr>
              <w:pStyle w:val="Tabletext"/>
            </w:pPr>
            <w:r>
              <w:t>Parenting</w:t>
            </w:r>
          </w:p>
        </w:tc>
      </w:tr>
      <w:tr w:rsidR="00065EE0" w:rsidTr="006861FD">
        <w:tc>
          <w:tcPr>
            <w:tcW w:w="4394" w:type="dxa"/>
          </w:tcPr>
          <w:p w:rsidR="00065EE0" w:rsidRDefault="00065EE0" w:rsidP="00065EE0">
            <w:pPr>
              <w:pStyle w:val="Tabletext"/>
            </w:pPr>
            <w:r>
              <w:t>Learning competencies and achievement</w:t>
            </w:r>
          </w:p>
        </w:tc>
        <w:tc>
          <w:tcPr>
            <w:tcW w:w="4395" w:type="dxa"/>
          </w:tcPr>
          <w:p w:rsidR="00065EE0" w:rsidRDefault="00065EE0" w:rsidP="00065EE0">
            <w:pPr>
              <w:pStyle w:val="Tabletext"/>
            </w:pPr>
            <w:r>
              <w:t>Family health</w:t>
            </w:r>
          </w:p>
        </w:tc>
      </w:tr>
      <w:tr w:rsidR="00065EE0" w:rsidTr="006861FD">
        <w:tc>
          <w:tcPr>
            <w:tcW w:w="4394" w:type="dxa"/>
          </w:tcPr>
          <w:p w:rsidR="00065EE0" w:rsidRDefault="00065EE0" w:rsidP="00065EE0">
            <w:pPr>
              <w:pStyle w:val="Tabletext"/>
            </w:pPr>
            <w:r>
              <w:t>Becoming an adult</w:t>
            </w:r>
          </w:p>
        </w:tc>
        <w:tc>
          <w:tcPr>
            <w:tcW w:w="4395" w:type="dxa"/>
          </w:tcPr>
          <w:p w:rsidR="00065EE0" w:rsidRDefault="00065EE0" w:rsidP="00065EE0">
            <w:pPr>
              <w:pStyle w:val="Tabletext"/>
            </w:pPr>
            <w:r>
              <w:t>Family work characteristics</w:t>
            </w:r>
          </w:p>
        </w:tc>
      </w:tr>
      <w:tr w:rsidR="00065EE0" w:rsidTr="006861FD">
        <w:tc>
          <w:tcPr>
            <w:tcW w:w="4394" w:type="dxa"/>
          </w:tcPr>
          <w:p w:rsidR="00065EE0" w:rsidRDefault="00604A2B" w:rsidP="00065EE0">
            <w:pPr>
              <w:pStyle w:val="Tabletext"/>
            </w:pPr>
            <w:r>
              <w:t>School environment</w:t>
            </w:r>
          </w:p>
        </w:tc>
        <w:tc>
          <w:tcPr>
            <w:tcW w:w="4395" w:type="dxa"/>
          </w:tcPr>
          <w:p w:rsidR="00065EE0" w:rsidRDefault="00065EE0" w:rsidP="00065EE0">
            <w:pPr>
              <w:pStyle w:val="Tabletext"/>
            </w:pPr>
            <w:r>
              <w:t>Family activities</w:t>
            </w:r>
          </w:p>
        </w:tc>
      </w:tr>
      <w:tr w:rsidR="00065EE0" w:rsidTr="006861FD">
        <w:tc>
          <w:tcPr>
            <w:tcW w:w="4394" w:type="dxa"/>
          </w:tcPr>
          <w:p w:rsidR="00065EE0" w:rsidRDefault="00604A2B" w:rsidP="00065EE0">
            <w:pPr>
              <w:pStyle w:val="Tabletext"/>
            </w:pPr>
            <w:r>
              <w:t>Peer relationships</w:t>
            </w:r>
          </w:p>
        </w:tc>
        <w:tc>
          <w:tcPr>
            <w:tcW w:w="4395" w:type="dxa"/>
          </w:tcPr>
          <w:p w:rsidR="00065EE0" w:rsidRDefault="00065EE0" w:rsidP="00065EE0">
            <w:pPr>
              <w:pStyle w:val="Tabletext"/>
            </w:pPr>
            <w:r>
              <w:t>Family resources</w:t>
            </w:r>
          </w:p>
        </w:tc>
      </w:tr>
      <w:tr w:rsidR="00604A2B" w:rsidTr="006861FD">
        <w:tc>
          <w:tcPr>
            <w:tcW w:w="4394" w:type="dxa"/>
            <w:tcBorders>
              <w:bottom w:val="single" w:sz="4" w:space="0" w:color="000000" w:themeColor="text1"/>
            </w:tcBorders>
          </w:tcPr>
          <w:p w:rsidR="00604A2B" w:rsidRDefault="00604A2B" w:rsidP="00065EE0">
            <w:pPr>
              <w:pStyle w:val="Tabletext"/>
            </w:pPr>
            <w:r>
              <w:t>Work</w:t>
            </w:r>
          </w:p>
        </w:tc>
        <w:tc>
          <w:tcPr>
            <w:tcW w:w="4395" w:type="dxa"/>
            <w:tcBorders>
              <w:bottom w:val="single" w:sz="4" w:space="0" w:color="000000" w:themeColor="text1"/>
            </w:tcBorders>
          </w:tcPr>
          <w:p w:rsidR="00604A2B" w:rsidRDefault="00604A2B" w:rsidP="00065EE0">
            <w:pPr>
              <w:pStyle w:val="Tabletext"/>
            </w:pPr>
          </w:p>
        </w:tc>
      </w:tr>
    </w:tbl>
    <w:p w:rsidR="00065EE0" w:rsidRDefault="00604A2B" w:rsidP="006861FD">
      <w:pPr>
        <w:pStyle w:val="Textmorebefore"/>
      </w:pPr>
      <w:r>
        <w:t>Major</w:t>
      </w:r>
      <w:r w:rsidR="00065EE0">
        <w:t xml:space="preserve"> efforts have been undertaken </w:t>
      </w:r>
      <w:r>
        <w:t xml:space="preserve">to link </w:t>
      </w:r>
      <w:r w:rsidR="00E63793">
        <w:t>the Longitudinal Study of Australian Children</w:t>
      </w:r>
      <w:r>
        <w:t xml:space="preserve"> </w:t>
      </w:r>
      <w:r w:rsidR="00FC7CA4">
        <w:t>to</w:t>
      </w:r>
      <w:r>
        <w:t xml:space="preserve"> the following administrative</w:t>
      </w:r>
      <w:r w:rsidR="00E45CFF">
        <w:t xml:space="preserve"> </w:t>
      </w:r>
      <w:r>
        <w:t xml:space="preserve">datasets </w:t>
      </w:r>
      <w:r w:rsidR="00E45CFF">
        <w:t>(</w:t>
      </w:r>
      <w:proofErr w:type="spellStart"/>
      <w:r>
        <w:t>Soloff</w:t>
      </w:r>
      <w:proofErr w:type="spellEnd"/>
      <w:r>
        <w:t xml:space="preserve"> et al. 2007):</w:t>
      </w:r>
    </w:p>
    <w:p w:rsidR="007E6342" w:rsidRDefault="00E63793" w:rsidP="007E6342">
      <w:pPr>
        <w:pStyle w:val="Dotpoint1"/>
      </w:pPr>
      <w:r>
        <w:t>h</w:t>
      </w:r>
      <w:r w:rsidR="007E6342">
        <w:t>ealth and development information recorded in parent-held records about every child after birth</w:t>
      </w:r>
    </w:p>
    <w:p w:rsidR="007E6342" w:rsidRDefault="00E63793" w:rsidP="007E6342">
      <w:pPr>
        <w:pStyle w:val="Dotpoint1"/>
      </w:pPr>
      <w:r>
        <w:t>h</w:t>
      </w:r>
      <w:r w:rsidR="007E6342">
        <w:t>ospital records of the child’s birth</w:t>
      </w:r>
    </w:p>
    <w:p w:rsidR="007E6342" w:rsidRDefault="00E63793" w:rsidP="007E6342">
      <w:pPr>
        <w:pStyle w:val="Dotpoint1"/>
      </w:pPr>
      <w:r>
        <w:lastRenderedPageBreak/>
        <w:t>i</w:t>
      </w:r>
      <w:r w:rsidR="007E6342">
        <w:t>mmunisation records held by the Australian Childhood Immunisation Register</w:t>
      </w:r>
    </w:p>
    <w:p w:rsidR="007E6342" w:rsidRDefault="00E63793" w:rsidP="007E6342">
      <w:pPr>
        <w:pStyle w:val="Dotpoint1"/>
      </w:pPr>
      <w:r>
        <w:t>e</w:t>
      </w:r>
      <w:r w:rsidR="007E6342">
        <w:t>pisodes and types of healthcare utilisation funded by Medicare Australia</w:t>
      </w:r>
    </w:p>
    <w:p w:rsidR="007E6342" w:rsidRDefault="00E63793" w:rsidP="007E6342">
      <w:pPr>
        <w:pStyle w:val="Dotpoint1"/>
      </w:pPr>
      <w:r>
        <w:t>i</w:t>
      </w:r>
      <w:r w:rsidR="007E6342">
        <w:t>nformation held by Medicare Australia on the Pharmaceutical Benefits Scheme</w:t>
      </w:r>
    </w:p>
    <w:p w:rsidR="007E6342" w:rsidRDefault="00E63793" w:rsidP="007E6342">
      <w:pPr>
        <w:pStyle w:val="Dotpoint1"/>
      </w:pPr>
      <w:r>
        <w:t>d</w:t>
      </w:r>
      <w:r w:rsidR="007E6342">
        <w:t>ata on the quality of childcare centres and family day care schemes, as held by the National Childcare Accreditation Council</w:t>
      </w:r>
    </w:p>
    <w:p w:rsidR="007E6342" w:rsidRDefault="00602440" w:rsidP="007E6342">
      <w:pPr>
        <w:pStyle w:val="Dotpoint1"/>
      </w:pPr>
      <w:r>
        <w:t>ABS</w:t>
      </w:r>
      <w:r w:rsidR="007E6342">
        <w:t xml:space="preserve"> indices of disadvantage, remoteness indicators and other measures of interest (such as un</w:t>
      </w:r>
      <w:r>
        <w:t>employment rates) derived from c</w:t>
      </w:r>
      <w:r w:rsidR="007E6342">
        <w:t>ensus data</w:t>
      </w:r>
      <w:r w:rsidR="00DC078C">
        <w:t>.</w:t>
      </w:r>
    </w:p>
    <w:p w:rsidR="007E6342" w:rsidRDefault="007E6342" w:rsidP="007E6342">
      <w:pPr>
        <w:pStyle w:val="Text"/>
      </w:pPr>
      <w:r>
        <w:t>Further to the administrative collection</w:t>
      </w:r>
      <w:r w:rsidR="00E45CFF">
        <w:t>s</w:t>
      </w:r>
      <w:r w:rsidR="00E63793">
        <w:t xml:space="preserve"> listed above</w:t>
      </w:r>
      <w:r>
        <w:t xml:space="preserve">, </w:t>
      </w:r>
      <w:proofErr w:type="spellStart"/>
      <w:r w:rsidRPr="00213448">
        <w:t>Daraganova</w:t>
      </w:r>
      <w:proofErr w:type="spellEnd"/>
      <w:r w:rsidR="00E63793">
        <w:t xml:space="preserve">, Edwards and </w:t>
      </w:r>
      <w:proofErr w:type="spellStart"/>
      <w:r w:rsidR="00E63793">
        <w:t>Sipthorp</w:t>
      </w:r>
      <w:proofErr w:type="spellEnd"/>
      <w:r>
        <w:t xml:space="preserve"> (</w:t>
      </w:r>
      <w:r w:rsidR="009749A6">
        <w:t>2013</w:t>
      </w:r>
      <w:r w:rsidRPr="00213448">
        <w:t xml:space="preserve">) </w:t>
      </w:r>
      <w:r>
        <w:t xml:space="preserve">recently illustrated the process of linking NAPLAN </w:t>
      </w:r>
      <w:r w:rsidRPr="00213448">
        <w:t>academic achievement scores to corresponding LSAC participants</w:t>
      </w:r>
      <w:r w:rsidR="00602440">
        <w:t>,</w:t>
      </w:r>
      <w:r>
        <w:t xml:space="preserve"> based on a child’s f</w:t>
      </w:r>
      <w:r w:rsidR="00602440">
        <w:t>irst and surname, date of birth</w:t>
      </w:r>
      <w:r>
        <w:t xml:space="preserve"> and school’s name and postcode.</w:t>
      </w:r>
      <w:r w:rsidRPr="00213448">
        <w:t xml:space="preserve"> </w:t>
      </w:r>
      <w:r>
        <w:t xml:space="preserve">The link between </w:t>
      </w:r>
      <w:r w:rsidR="00BC7B5A">
        <w:t xml:space="preserve">the National Assessment Program — Literacy and Numeracy </w:t>
      </w:r>
      <w:r>
        <w:t xml:space="preserve">and </w:t>
      </w:r>
      <w:r w:rsidR="0004361E">
        <w:t>the Longitudinal Study of Australian Children</w:t>
      </w:r>
      <w:r w:rsidRPr="00213448">
        <w:t xml:space="preserve"> </w:t>
      </w:r>
      <w:r>
        <w:t>allows</w:t>
      </w:r>
      <w:r w:rsidRPr="00213448">
        <w:t xml:space="preserve"> researchers to determine the impact of individual and parental background cha</w:t>
      </w:r>
      <w:r w:rsidR="007A4662">
        <w:t xml:space="preserve">racteristics, early </w:t>
      </w:r>
      <w:r>
        <w:t>childhood and school interventions, as well as</w:t>
      </w:r>
      <w:r w:rsidRPr="00213448">
        <w:t xml:space="preserve"> personal attitudes and aspirations</w:t>
      </w:r>
      <w:r w:rsidR="00FC7CA4">
        <w:t>,</w:t>
      </w:r>
      <w:r w:rsidRPr="00213448">
        <w:t xml:space="preserve"> on academic outcomes in Years 3, 5, 7 and 9.</w:t>
      </w:r>
    </w:p>
    <w:p w:rsidR="008E47D1" w:rsidRDefault="00FC7CA4" w:rsidP="008E47D1">
      <w:pPr>
        <w:pStyle w:val="Text"/>
        <w:keepNext/>
      </w:pPr>
      <w:r>
        <w:rPr>
          <w:noProof/>
          <w:lang w:eastAsia="en-AU"/>
        </w:rPr>
        <w:drawing>
          <wp:anchor distT="0" distB="0" distL="114300" distR="114300" simplePos="0" relativeHeight="251665408" behindDoc="0" locked="0" layoutInCell="1" allowOverlap="1">
            <wp:simplePos x="0" y="0"/>
            <wp:positionH relativeFrom="column">
              <wp:posOffset>-96520</wp:posOffset>
            </wp:positionH>
            <wp:positionV relativeFrom="paragraph">
              <wp:posOffset>2232025</wp:posOffset>
            </wp:positionV>
            <wp:extent cx="4751070" cy="3001645"/>
            <wp:effectExtent l="19050" t="0" r="0" b="0"/>
            <wp:wrapTopAndBottom/>
            <wp:docPr id="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 cstate="print"/>
                    <a:srcRect/>
                    <a:stretch>
                      <a:fillRect/>
                    </a:stretch>
                  </pic:blipFill>
                  <pic:spPr bwMode="auto">
                    <a:xfrm>
                      <a:off x="0" y="0"/>
                      <a:ext cx="4751070" cy="3001645"/>
                    </a:xfrm>
                    <a:prstGeom prst="rect">
                      <a:avLst/>
                    </a:prstGeom>
                    <a:noFill/>
                    <a:ln w="9525">
                      <a:noFill/>
                      <a:miter lim="800000"/>
                      <a:headEnd/>
                      <a:tailEnd/>
                    </a:ln>
                  </pic:spPr>
                </pic:pic>
              </a:graphicData>
            </a:graphic>
          </wp:anchor>
        </w:drawing>
      </w:r>
      <w:r w:rsidR="008E47D1">
        <w:t>A concept paper recently presented by the ABS provides an</w:t>
      </w:r>
      <w:r w:rsidR="008E47D1" w:rsidRPr="00213448">
        <w:t xml:space="preserve"> example of </w:t>
      </w:r>
      <w:r w:rsidR="008E47D1">
        <w:t xml:space="preserve">how data linkage can help to explore young people’s </w:t>
      </w:r>
      <w:r w:rsidR="008E47D1" w:rsidRPr="00213448">
        <w:t>developmental trajectories</w:t>
      </w:r>
      <w:r w:rsidR="008E47D1">
        <w:t xml:space="preserve"> from early childhood to their mid-</w:t>
      </w:r>
      <w:r w:rsidR="007A4662">
        <w:t>20s</w:t>
      </w:r>
      <w:r w:rsidR="008E47D1">
        <w:t xml:space="preserve"> (</w:t>
      </w:r>
      <w:r w:rsidR="008E47D1" w:rsidRPr="00213448">
        <w:t>National Statis</w:t>
      </w:r>
      <w:r w:rsidR="008E47D1">
        <w:t>tical Service 2012a)</w:t>
      </w:r>
      <w:r w:rsidR="008E47D1" w:rsidRPr="00213448">
        <w:t>.</w:t>
      </w:r>
      <w:r w:rsidR="008E47D1">
        <w:t xml:space="preserve"> T</w:t>
      </w:r>
      <w:r w:rsidR="008E47D1" w:rsidRPr="00213448">
        <w:t>he Australian Longitudinal Learning Database (ALLD</w:t>
      </w:r>
      <w:r w:rsidR="008E47D1">
        <w:t>) project plans</w:t>
      </w:r>
      <w:r w:rsidR="008E47D1" w:rsidRPr="00213448">
        <w:t xml:space="preserve"> to integrate the </w:t>
      </w:r>
      <w:r w:rsidR="008E47D1">
        <w:t xml:space="preserve">Australian </w:t>
      </w:r>
      <w:r w:rsidR="008E47D1" w:rsidRPr="00213448">
        <w:t xml:space="preserve">Census with </w:t>
      </w:r>
      <w:r w:rsidR="00BC7B5A">
        <w:t xml:space="preserve">the National Assessment Program — Literacy and Numeracy </w:t>
      </w:r>
      <w:r w:rsidR="008E47D1" w:rsidRPr="00213448">
        <w:t>and other administ</w:t>
      </w:r>
      <w:r w:rsidR="008E47D1">
        <w:t>rative collections. D</w:t>
      </w:r>
      <w:r w:rsidR="008E47D1" w:rsidRPr="00213448">
        <w:t>ata from the Program</w:t>
      </w:r>
      <w:r>
        <w:t>me</w:t>
      </w:r>
      <w:r w:rsidR="008E47D1" w:rsidRPr="00213448">
        <w:t xml:space="preserve"> for International Student Assessment </w:t>
      </w:r>
      <w:r w:rsidR="008E47D1">
        <w:t xml:space="preserve">(and therefore LSAY) </w:t>
      </w:r>
      <w:r w:rsidR="008E47D1" w:rsidRPr="00213448">
        <w:t xml:space="preserve">and </w:t>
      </w:r>
      <w:r w:rsidR="008E47D1">
        <w:t xml:space="preserve">potentially </w:t>
      </w:r>
      <w:r w:rsidR="008E47D1" w:rsidRPr="00213448">
        <w:t>other relevant surveys</w:t>
      </w:r>
      <w:r w:rsidR="008E47D1">
        <w:t xml:space="preserve"> may also be included</w:t>
      </w:r>
      <w:r w:rsidR="008E47D1" w:rsidRPr="00213448">
        <w:t xml:space="preserve">. </w:t>
      </w:r>
      <w:r w:rsidR="008E47D1">
        <w:t xml:space="preserve">Figure 1 illustrates the various elements that may be included in the </w:t>
      </w:r>
      <w:r w:rsidR="007A4662" w:rsidRPr="00213448">
        <w:t>Australian Longitudinal Learning Database</w:t>
      </w:r>
      <w:r w:rsidR="008E47D1">
        <w:t xml:space="preserve">. However, it needs to be emphasised that </w:t>
      </w:r>
      <w:r w:rsidR="00602440">
        <w:t>this</w:t>
      </w:r>
      <w:r w:rsidR="008E47D1">
        <w:t xml:space="preserve"> project is currently in very early stages of development and may take years to be fully implemented.</w:t>
      </w:r>
    </w:p>
    <w:p w:rsidR="008E47D1" w:rsidRPr="00285188" w:rsidRDefault="008E47D1" w:rsidP="006861FD">
      <w:pPr>
        <w:pStyle w:val="Figuretitle"/>
      </w:pPr>
      <w:bookmarkStart w:id="52" w:name="_Toc358811325"/>
      <w:r>
        <w:t>Figure 1</w:t>
      </w:r>
      <w:r>
        <w:tab/>
        <w:t>Concept of the A</w:t>
      </w:r>
      <w:r w:rsidR="00FC7CA4">
        <w:t xml:space="preserve">ustralian </w:t>
      </w:r>
      <w:r>
        <w:t>L</w:t>
      </w:r>
      <w:r w:rsidR="00FC7CA4">
        <w:t xml:space="preserve">ongitudinal </w:t>
      </w:r>
      <w:r>
        <w:t>L</w:t>
      </w:r>
      <w:r w:rsidR="00FC7CA4">
        <w:t xml:space="preserve">earning </w:t>
      </w:r>
      <w:r>
        <w:t>D</w:t>
      </w:r>
      <w:bookmarkEnd w:id="52"/>
      <w:r w:rsidR="00FC7CA4">
        <w:t>atabase</w:t>
      </w:r>
    </w:p>
    <w:p w:rsidR="008E47D1" w:rsidRDefault="008E47D1" w:rsidP="006861FD">
      <w:pPr>
        <w:pStyle w:val="Source"/>
        <w:keepNext/>
        <w:ind w:left="0" w:firstLine="0"/>
      </w:pPr>
      <w:r>
        <w:t>Source:</w:t>
      </w:r>
      <w:r w:rsidR="006861FD">
        <w:tab/>
      </w:r>
      <w:r w:rsidRPr="004B1A2A">
        <w:t xml:space="preserve">National Statistical Service </w:t>
      </w:r>
      <w:r>
        <w:t>(</w:t>
      </w:r>
      <w:r w:rsidRPr="004B1A2A">
        <w:t>2012</w:t>
      </w:r>
      <w:r>
        <w:t>a)</w:t>
      </w:r>
      <w:r w:rsidR="00253D36">
        <w:t>.</w:t>
      </w:r>
    </w:p>
    <w:p w:rsidR="00604A2B" w:rsidRDefault="00604A2B">
      <w:pPr>
        <w:spacing w:before="0" w:line="240" w:lineRule="auto"/>
        <w:rPr>
          <w:rFonts w:ascii="Tahoma" w:hAnsi="Tahoma" w:cs="Tahoma"/>
          <w:sz w:val="28"/>
        </w:rPr>
      </w:pPr>
      <w:r>
        <w:br w:type="page"/>
      </w:r>
    </w:p>
    <w:p w:rsidR="007319EA" w:rsidRDefault="007319EA" w:rsidP="007319EA">
      <w:pPr>
        <w:pStyle w:val="Heading2"/>
      </w:pPr>
      <w:bookmarkStart w:id="53" w:name="_Toc358811267"/>
      <w:r>
        <w:lastRenderedPageBreak/>
        <w:t>Challenges of data linkage</w:t>
      </w:r>
      <w:bookmarkEnd w:id="53"/>
    </w:p>
    <w:p w:rsidR="003301D7" w:rsidRDefault="007319EA" w:rsidP="007319EA">
      <w:pPr>
        <w:pStyle w:val="Text"/>
      </w:pPr>
      <w:r>
        <w:t xml:space="preserve">From a </w:t>
      </w:r>
      <w:r w:rsidRPr="00B67250">
        <w:t xml:space="preserve">technical </w:t>
      </w:r>
      <w:r>
        <w:t>viewpoint, it is feasible to combine administrative data with LSAY via probabilistic linkage because respondents’ representative identifiers (</w:t>
      </w:r>
      <w:r w:rsidR="00253D36">
        <w:t>that is,</w:t>
      </w:r>
      <w:r>
        <w:t xml:space="preserve"> n</w:t>
      </w:r>
      <w:r w:rsidR="00602440">
        <w:t>ames, addresses, dates of birth</w:t>
      </w:r>
      <w:r>
        <w:t xml:space="preserve"> etc.) are known to the data collection contractor (currently Wallis Consulting</w:t>
      </w:r>
      <w:r w:rsidR="005D2A7F">
        <w:t xml:space="preserve"> Group</w:t>
      </w:r>
      <w:r>
        <w:t xml:space="preserve">). </w:t>
      </w:r>
      <w:r w:rsidR="002E5623">
        <w:t>The data</w:t>
      </w:r>
      <w:r w:rsidR="009F76E6">
        <w:t>-</w:t>
      </w:r>
      <w:r w:rsidR="002E5623">
        <w:t>linkage process itself</w:t>
      </w:r>
      <w:r w:rsidR="00253D36">
        <w:t>,</w:t>
      </w:r>
      <w:r w:rsidR="002E5623">
        <w:t xml:space="preserve"> </w:t>
      </w:r>
      <w:r w:rsidR="005B4B49">
        <w:t xml:space="preserve">however, </w:t>
      </w:r>
      <w:r w:rsidR="002E5623">
        <w:t>require</w:t>
      </w:r>
      <w:r w:rsidR="00470312">
        <w:t>s a number of</w:t>
      </w:r>
      <w:r w:rsidR="002E5623">
        <w:t xml:space="preserve"> key steps</w:t>
      </w:r>
      <w:r w:rsidR="00470312">
        <w:t xml:space="preserve"> and may vary</w:t>
      </w:r>
      <w:r w:rsidR="00602440">
        <w:t>,</w:t>
      </w:r>
      <w:r w:rsidR="00470312">
        <w:t xml:space="preserve"> depending on</w:t>
      </w:r>
      <w:r w:rsidR="004A0452">
        <w:t xml:space="preserve"> the</w:t>
      </w:r>
      <w:r w:rsidR="00470312">
        <w:t xml:space="preserve"> linkage m</w:t>
      </w:r>
      <w:r w:rsidR="00253D36">
        <w:t>odel and the linkage method; that is,</w:t>
      </w:r>
      <w:r w:rsidR="00470312">
        <w:t xml:space="preserve"> </w:t>
      </w:r>
      <w:r w:rsidR="008774CD">
        <w:t xml:space="preserve">whether it is </w:t>
      </w:r>
      <w:r w:rsidR="00470312">
        <w:t xml:space="preserve">deterministic or probabilistic. </w:t>
      </w:r>
      <w:r w:rsidR="00534810">
        <w:t xml:space="preserve">Even with best practice models to draw on, </w:t>
      </w:r>
      <w:r w:rsidR="00516702">
        <w:t xml:space="preserve">significant </w:t>
      </w:r>
      <w:r w:rsidR="005B4B49">
        <w:t>res</w:t>
      </w:r>
      <w:r w:rsidR="003D5FF1">
        <w:t>ources and time will be required</w:t>
      </w:r>
      <w:r w:rsidR="00516702">
        <w:t xml:space="preserve"> </w:t>
      </w:r>
      <w:r w:rsidR="005B4B49">
        <w:t>to develop</w:t>
      </w:r>
      <w:r w:rsidR="007D57C4">
        <w:t xml:space="preserve"> </w:t>
      </w:r>
      <w:r w:rsidR="00253D36">
        <w:t xml:space="preserve">a </w:t>
      </w:r>
      <w:r w:rsidR="00534810">
        <w:t xml:space="preserve">process for </w:t>
      </w:r>
      <w:r w:rsidR="008774CD">
        <w:t xml:space="preserve">linking </w:t>
      </w:r>
      <w:r w:rsidR="00534810">
        <w:t xml:space="preserve">LSAY to other data </w:t>
      </w:r>
      <w:r w:rsidR="008774CD">
        <w:t>collections</w:t>
      </w:r>
      <w:r w:rsidR="0029435C">
        <w:t xml:space="preserve">, including </w:t>
      </w:r>
      <w:r w:rsidR="00253D36">
        <w:t xml:space="preserve">determining </w:t>
      </w:r>
      <w:r w:rsidR="0029435C">
        <w:t xml:space="preserve">the best method </w:t>
      </w:r>
      <w:r w:rsidR="00253D36">
        <w:t>for</w:t>
      </w:r>
      <w:r w:rsidR="0029435C">
        <w:t xml:space="preserve"> deal</w:t>
      </w:r>
      <w:r w:rsidR="00253D36">
        <w:t>ing with data-</w:t>
      </w:r>
      <w:r w:rsidR="0029435C">
        <w:t>quality issues</w:t>
      </w:r>
      <w:r w:rsidR="00604A2B">
        <w:t>.</w:t>
      </w:r>
    </w:p>
    <w:p w:rsidR="00516702" w:rsidRDefault="007319EA" w:rsidP="007D57C4">
      <w:pPr>
        <w:pStyle w:val="Text"/>
      </w:pPr>
      <w:r>
        <w:t xml:space="preserve">From a </w:t>
      </w:r>
      <w:r w:rsidRPr="00B67250">
        <w:t xml:space="preserve">legal </w:t>
      </w:r>
      <w:r w:rsidR="000E4781">
        <w:t xml:space="preserve">and ethics </w:t>
      </w:r>
      <w:r>
        <w:t xml:space="preserve">viewpoint, </w:t>
      </w:r>
      <w:r w:rsidR="00B67250">
        <w:t xml:space="preserve">the major </w:t>
      </w:r>
      <w:r w:rsidR="0057376B">
        <w:t xml:space="preserve">issue </w:t>
      </w:r>
      <w:r w:rsidR="00253D36">
        <w:t>for consideration</w:t>
      </w:r>
      <w:r w:rsidR="00516702">
        <w:t xml:space="preserve"> is protecting privacy and data confidentiality, which includes obtaining consent and dealing with consent bias, and developing specific protocols for the sec</w:t>
      </w:r>
      <w:r w:rsidR="00604A2B">
        <w:t>ure management of linked data.</w:t>
      </w:r>
    </w:p>
    <w:p w:rsidR="007319EA" w:rsidRDefault="007D57C4" w:rsidP="00EE0768">
      <w:pPr>
        <w:pStyle w:val="Text"/>
        <w:keepNext/>
      </w:pPr>
      <w:r>
        <w:t xml:space="preserve">Firstly, </w:t>
      </w:r>
      <w:r w:rsidR="007A26AC">
        <w:t xml:space="preserve">any potential </w:t>
      </w:r>
      <w:r w:rsidR="007319EA">
        <w:t xml:space="preserve">data linkage between LSAY and administrative collections </w:t>
      </w:r>
      <w:r w:rsidR="00EE0768">
        <w:t>will require obtaining consent from respondents to link their data</w:t>
      </w:r>
      <w:r w:rsidR="007319EA">
        <w:t xml:space="preserve">. </w:t>
      </w:r>
      <w:r w:rsidR="00EE0768">
        <w:t xml:space="preserve">Because there is no minimum age at which an individual can make decisions on his or her personal information under the </w:t>
      </w:r>
      <w:r w:rsidR="00EE0768" w:rsidRPr="00EE0768">
        <w:rPr>
          <w:i/>
        </w:rPr>
        <w:t>Privacy Act 1988</w:t>
      </w:r>
      <w:r w:rsidR="00EE0768">
        <w:t>,</w:t>
      </w:r>
      <w:r w:rsidR="00EE0768">
        <w:rPr>
          <w:rStyle w:val="FootnoteReference"/>
        </w:rPr>
        <w:footnoteReference w:id="8"/>
      </w:r>
      <w:r w:rsidR="00604A2B">
        <w:t xml:space="preserve"> </w:t>
      </w:r>
      <w:r w:rsidR="00EE0768">
        <w:t>LSAY respondents can be asked directly for their consent.</w:t>
      </w:r>
      <w:r w:rsidR="00EE0768">
        <w:rPr>
          <w:rStyle w:val="FootnoteReference"/>
        </w:rPr>
        <w:footnoteReference w:id="9"/>
      </w:r>
      <w:r w:rsidR="00EE0768">
        <w:t xml:space="preserve"> This can be practically undertaken through the sample maintenance schedule</w:t>
      </w:r>
      <w:r w:rsidR="00253D36">
        <w:t>,</w:t>
      </w:r>
      <w:r w:rsidR="00EE0768">
        <w:t xml:space="preserve"> </w:t>
      </w:r>
      <w:r w:rsidR="002846B5">
        <w:t>wh</w:t>
      </w:r>
      <w:r w:rsidR="00345037">
        <w:t>ere</w:t>
      </w:r>
      <w:r w:rsidR="00253D36">
        <w:t>by</w:t>
      </w:r>
      <w:r w:rsidR="00345037">
        <w:t xml:space="preserve"> </w:t>
      </w:r>
      <w:r w:rsidR="00EE0768">
        <w:t xml:space="preserve">respondents </w:t>
      </w:r>
      <w:r w:rsidR="00345037">
        <w:t xml:space="preserve">are contacted </w:t>
      </w:r>
      <w:r w:rsidR="00EE0768">
        <w:t>twice a year</w:t>
      </w:r>
      <w:r w:rsidR="00253D36">
        <w:t>.</w:t>
      </w:r>
      <w:r w:rsidR="00C03C96">
        <w:rPr>
          <w:rStyle w:val="FootnoteReference"/>
        </w:rPr>
        <w:footnoteReference w:id="10"/>
      </w:r>
      <w:r w:rsidR="00EE0768">
        <w:t xml:space="preserve"> </w:t>
      </w:r>
      <w:r w:rsidR="004F60AB">
        <w:t>A</w:t>
      </w:r>
      <w:r w:rsidR="007319EA">
        <w:t xml:space="preserve"> </w:t>
      </w:r>
      <w:r w:rsidR="00253D36">
        <w:t>more significant</w:t>
      </w:r>
      <w:r w:rsidR="007319EA">
        <w:t xml:space="preserve"> challenge is that of </w:t>
      </w:r>
      <w:r w:rsidR="007319EA" w:rsidRPr="00602440">
        <w:t>consent bias</w:t>
      </w:r>
      <w:r w:rsidR="007319EA">
        <w:t>. Consent bias</w:t>
      </w:r>
      <w:r w:rsidR="007319EA" w:rsidRPr="008839C7">
        <w:t xml:space="preserve"> </w:t>
      </w:r>
      <w:r w:rsidR="00602440">
        <w:t>refers to</w:t>
      </w:r>
      <w:r w:rsidR="007319EA" w:rsidRPr="008839C7">
        <w:t xml:space="preserve"> the fact that population groups with certain socio-demograp</w:t>
      </w:r>
      <w:r w:rsidR="007319EA">
        <w:t>h</w:t>
      </w:r>
      <w:r w:rsidR="00602440">
        <w:t>ic characteristics (for example</w:t>
      </w:r>
      <w:r w:rsidR="00396987">
        <w:t>,</w:t>
      </w:r>
      <w:r w:rsidR="007319EA">
        <w:t xml:space="preserve"> low</w:t>
      </w:r>
      <w:r w:rsidR="00600D78">
        <w:t xml:space="preserve"> socioeconomic status</w:t>
      </w:r>
      <w:r w:rsidR="007319EA">
        <w:t xml:space="preserve"> and </w:t>
      </w:r>
      <w:r w:rsidR="00396987">
        <w:t xml:space="preserve">Indigenous youth, as well as </w:t>
      </w:r>
      <w:r w:rsidR="007319EA">
        <w:t>other equity groups) have lower</w:t>
      </w:r>
      <w:r w:rsidR="007319EA" w:rsidRPr="008839C7">
        <w:t xml:space="preserve"> </w:t>
      </w:r>
      <w:r w:rsidR="007319EA">
        <w:t xml:space="preserve">consent </w:t>
      </w:r>
      <w:r w:rsidR="007319EA" w:rsidRPr="008839C7">
        <w:t>probabilities</w:t>
      </w:r>
      <w:r w:rsidR="007319EA">
        <w:t xml:space="preserve"> for data linkage</w:t>
      </w:r>
      <w:r w:rsidR="007319EA" w:rsidRPr="008839C7">
        <w:t xml:space="preserve"> (</w:t>
      </w:r>
      <w:r w:rsidR="00600D78">
        <w:t>Australian Institute of Health and Welfare</w:t>
      </w:r>
      <w:r w:rsidR="00C67B1D">
        <w:t xml:space="preserve"> &amp; ABS 2012; </w:t>
      </w:r>
      <w:proofErr w:type="spellStart"/>
      <w:r w:rsidR="007319EA" w:rsidRPr="008839C7">
        <w:t>Kho</w:t>
      </w:r>
      <w:proofErr w:type="spellEnd"/>
      <w:r w:rsidR="00600D78">
        <w:t xml:space="preserve"> et al. 2009; </w:t>
      </w:r>
      <w:proofErr w:type="spellStart"/>
      <w:r w:rsidR="00600D78">
        <w:t>Knies</w:t>
      </w:r>
      <w:proofErr w:type="spellEnd"/>
      <w:r w:rsidR="00600D78">
        <w:t xml:space="preserve">, Burton &amp; </w:t>
      </w:r>
      <w:proofErr w:type="spellStart"/>
      <w:r w:rsidR="00600D78">
        <w:t>Sala</w:t>
      </w:r>
      <w:proofErr w:type="spellEnd"/>
      <w:r w:rsidR="00600D78">
        <w:t xml:space="preserve"> 2012; </w:t>
      </w:r>
      <w:proofErr w:type="spellStart"/>
      <w:r w:rsidR="00600D78">
        <w:t>Sala</w:t>
      </w:r>
      <w:proofErr w:type="spellEnd"/>
      <w:r w:rsidR="00600D78">
        <w:t xml:space="preserve">, Burton &amp; </w:t>
      </w:r>
      <w:proofErr w:type="spellStart"/>
      <w:r w:rsidR="00600D78">
        <w:t>Knies</w:t>
      </w:r>
      <w:proofErr w:type="spellEnd"/>
      <w:r w:rsidR="005B1940">
        <w:t xml:space="preserve"> 2012</w:t>
      </w:r>
      <w:r w:rsidR="007319EA" w:rsidRPr="008839C7">
        <w:t xml:space="preserve">). This can lead to </w:t>
      </w:r>
      <w:r w:rsidR="007319EA">
        <w:t>an under-representation of already vulnerable</w:t>
      </w:r>
      <w:r w:rsidR="007319EA" w:rsidRPr="008839C7">
        <w:t xml:space="preserve"> population groups in statistical analyses </w:t>
      </w:r>
      <w:r w:rsidR="001574A7">
        <w:t xml:space="preserve">that </w:t>
      </w:r>
      <w:r w:rsidR="00602440" w:rsidRPr="008C1101">
        <w:t>us</w:t>
      </w:r>
      <w:r w:rsidR="001574A7" w:rsidRPr="008C1101">
        <w:t>e</w:t>
      </w:r>
      <w:r w:rsidR="007319EA" w:rsidRPr="008839C7">
        <w:t xml:space="preserve"> linked data.</w:t>
      </w:r>
      <w:r w:rsidR="007319EA">
        <w:t xml:space="preserve"> In LSAY, consent bias could be addressed to some extent by developing appropriate statistical weights based on consent probabilities.</w:t>
      </w:r>
      <w:r w:rsidR="00405173">
        <w:t xml:space="preserve"> </w:t>
      </w:r>
      <w:r w:rsidR="00405173" w:rsidRPr="00405173">
        <w:t>Ideally, consent would need to be obtained at the earliest possible stage to avoid compounding consent bias with attrition. However, the process of obtaining consent may itself have implications for attrition</w:t>
      </w:r>
      <w:r w:rsidR="00C03C96">
        <w:t xml:space="preserve"> (</w:t>
      </w:r>
      <w:r w:rsidR="00396987">
        <w:t xml:space="preserve">see </w:t>
      </w:r>
      <w:proofErr w:type="spellStart"/>
      <w:r w:rsidR="00C03C96">
        <w:t>Soloff</w:t>
      </w:r>
      <w:proofErr w:type="spellEnd"/>
      <w:r w:rsidR="00C03C96">
        <w:t xml:space="preserve"> et al. 2007)</w:t>
      </w:r>
      <w:r w:rsidR="00405173" w:rsidRPr="00405173">
        <w:t>.</w:t>
      </w:r>
    </w:p>
    <w:p w:rsidR="003B58E6" w:rsidRDefault="002846B5" w:rsidP="007319EA">
      <w:pPr>
        <w:pStyle w:val="Text"/>
      </w:pPr>
      <w:r>
        <w:t xml:space="preserve">Secondly, </w:t>
      </w:r>
      <w:r w:rsidR="00600D78">
        <w:t>the development of a data-</w:t>
      </w:r>
      <w:r w:rsidR="003B58E6">
        <w:t xml:space="preserve">linkage process using LSAY data needs to take into account specific protocols that ensure the protection of privacy </w:t>
      </w:r>
      <w:r w:rsidR="00600D78">
        <w:t xml:space="preserve">and </w:t>
      </w:r>
      <w:r w:rsidR="001574A7">
        <w:t xml:space="preserve">the </w:t>
      </w:r>
      <w:r w:rsidR="00600D78">
        <w:t>confidentiality of the data</w:t>
      </w:r>
      <w:r w:rsidR="003B58E6">
        <w:t xml:space="preserve"> and manage the safety and security of linked data</w:t>
      </w:r>
      <w:r w:rsidR="009269B6">
        <w:t xml:space="preserve"> (</w:t>
      </w:r>
      <w:r w:rsidR="00CF1082">
        <w:t>National Statistical Service 2010)</w:t>
      </w:r>
      <w:r w:rsidR="003B58E6">
        <w:t>. These include de-identification of linked data, use of an indep</w:t>
      </w:r>
      <w:r w:rsidR="003D5FF1">
        <w:t>endent agency as data custodian</w:t>
      </w:r>
      <w:r w:rsidR="003B58E6">
        <w:t xml:space="preserve"> and secure storage of linked data. </w:t>
      </w:r>
      <w:r w:rsidR="000C6EE5">
        <w:t xml:space="preserve">For </w:t>
      </w:r>
      <w:r w:rsidR="00600D78">
        <w:t>data-</w:t>
      </w:r>
      <w:r w:rsidR="000C6EE5" w:rsidRPr="00AE732F">
        <w:t xml:space="preserve">linkage projects involving Commonwealth data for statistical and research </w:t>
      </w:r>
      <w:r w:rsidR="000C6EE5">
        <w:t xml:space="preserve">purposes, </w:t>
      </w:r>
      <w:r w:rsidR="000C6EE5" w:rsidRPr="00AE732F">
        <w:t>an official ‘integrating authority’</w:t>
      </w:r>
      <w:r w:rsidR="000C6EE5">
        <w:t xml:space="preserve"> must be used</w:t>
      </w:r>
      <w:r w:rsidR="000C6EE5" w:rsidRPr="00AE732F">
        <w:t>. An integrating authority is the single agency ultimately accountable for the imple</w:t>
      </w:r>
      <w:r w:rsidR="008C1101">
        <w:t xml:space="preserve">mentation of a statistical data </w:t>
      </w:r>
      <w:r w:rsidR="000C6EE5">
        <w:t>linkage</w:t>
      </w:r>
      <w:r w:rsidR="000C6EE5" w:rsidRPr="00AE732F">
        <w:t xml:space="preserve"> project</w:t>
      </w:r>
      <w:r w:rsidR="000C6EE5">
        <w:t xml:space="preserve"> (Na</w:t>
      </w:r>
      <w:r w:rsidR="00207AC8">
        <w:t>tional Statistical Service 2012b</w:t>
      </w:r>
      <w:r w:rsidR="000C6EE5">
        <w:t>)</w:t>
      </w:r>
      <w:r w:rsidR="000C6EE5" w:rsidRPr="00AE732F">
        <w:t xml:space="preserve">. Currently, the two integrating authorities for Commonwealth data are the </w:t>
      </w:r>
      <w:r w:rsidR="000C6EE5" w:rsidRPr="00AE732F">
        <w:lastRenderedPageBreak/>
        <w:t xml:space="preserve">ABS and the Australian Institute of Health and Welfare (AIHW). This means that the actual process of linking any Commonwealth </w:t>
      </w:r>
      <w:r w:rsidR="000C6EE5">
        <w:t>administrative collections to</w:t>
      </w:r>
      <w:r w:rsidR="000C6EE5" w:rsidRPr="00AE732F">
        <w:t xml:space="preserve"> </w:t>
      </w:r>
      <w:r w:rsidR="000C6EE5">
        <w:t>LSAY</w:t>
      </w:r>
      <w:r w:rsidR="000C6EE5" w:rsidRPr="00AE732F">
        <w:t xml:space="preserve"> has to be coor</w:t>
      </w:r>
      <w:r w:rsidR="000C6EE5">
        <w:t>dinated by either one of these authorised external intermediaries</w:t>
      </w:r>
      <w:r w:rsidR="000C6EE5" w:rsidRPr="00AE732F">
        <w:t>.</w:t>
      </w:r>
    </w:p>
    <w:p w:rsidR="000F37D5" w:rsidRDefault="000F37D5" w:rsidP="007319EA">
      <w:pPr>
        <w:pStyle w:val="Text"/>
      </w:pPr>
      <w:r>
        <w:t xml:space="preserve">The costs associated with setting up the linkage model and </w:t>
      </w:r>
      <w:r w:rsidR="001574A7">
        <w:t xml:space="preserve">the </w:t>
      </w:r>
      <w:r>
        <w:t xml:space="preserve">processes to manage privacy concerns are </w:t>
      </w:r>
      <w:r w:rsidR="005E1B3C">
        <w:t xml:space="preserve">likely </w:t>
      </w:r>
      <w:r w:rsidR="001574A7">
        <w:t xml:space="preserve">to be </w:t>
      </w:r>
      <w:r w:rsidR="005E1B3C">
        <w:t>offset</w:t>
      </w:r>
      <w:r>
        <w:t xml:space="preserve"> by the </w:t>
      </w:r>
      <w:r w:rsidR="002A5557">
        <w:t>advantage</w:t>
      </w:r>
      <w:r w:rsidR="005E1B3C">
        <w:t xml:space="preserve">s </w:t>
      </w:r>
      <w:r w:rsidR="001574A7">
        <w:t xml:space="preserve">that </w:t>
      </w:r>
      <w:r w:rsidR="005E1B3C">
        <w:t>data linkage brings to</w:t>
      </w:r>
      <w:r w:rsidR="002A5557">
        <w:t xml:space="preserve"> LSAY</w:t>
      </w:r>
      <w:r w:rsidR="009F76E6">
        <w:t>;</w:t>
      </w:r>
      <w:r w:rsidR="002A5557">
        <w:t xml:space="preserve"> namely</w:t>
      </w:r>
      <w:r w:rsidR="009B5276">
        <w:t>,</w:t>
      </w:r>
      <w:r w:rsidR="002A5557">
        <w:t xml:space="preserve"> broadening the scope of the questio</w:t>
      </w:r>
      <w:r w:rsidR="005E1B3C">
        <w:t>nnaire without increasing</w:t>
      </w:r>
      <w:r w:rsidR="002A5557">
        <w:t xml:space="preserve"> respondent burden. Existing questions could also be supplemented with administrati</w:t>
      </w:r>
      <w:r w:rsidR="003D5FF1">
        <w:t xml:space="preserve">ve data, allowing </w:t>
      </w:r>
      <w:r w:rsidR="002A5557">
        <w:t>sco</w:t>
      </w:r>
      <w:r w:rsidR="003D5FF1">
        <w:t>pe for</w:t>
      </w:r>
      <w:r w:rsidR="005E1B3C">
        <w:t xml:space="preserve"> new questions.</w:t>
      </w:r>
    </w:p>
    <w:p w:rsidR="00E64D8B" w:rsidRDefault="00E64D8B" w:rsidP="00E64D8B">
      <w:pPr>
        <w:pStyle w:val="Heading2"/>
      </w:pPr>
      <w:bookmarkStart w:id="54" w:name="_Toc358811268"/>
      <w:r>
        <w:t xml:space="preserve">Potential </w:t>
      </w:r>
      <w:r w:rsidR="00365164">
        <w:t xml:space="preserve">administrative </w:t>
      </w:r>
      <w:r>
        <w:t>data sources for linkage with LSAY</w:t>
      </w:r>
      <w:bookmarkEnd w:id="54"/>
    </w:p>
    <w:p w:rsidR="001D0606" w:rsidRDefault="00365164" w:rsidP="002C5A6A">
      <w:pPr>
        <w:pStyle w:val="Text"/>
      </w:pPr>
      <w:r>
        <w:t xml:space="preserve">There are numerous </w:t>
      </w:r>
      <w:r w:rsidR="00E64D8B">
        <w:t xml:space="preserve">administrative collections </w:t>
      </w:r>
      <w:r>
        <w:t xml:space="preserve">held at different levels of government </w:t>
      </w:r>
      <w:r w:rsidR="009B5276">
        <w:t>which</w:t>
      </w:r>
      <w:r w:rsidR="00E64D8B">
        <w:t xml:space="preserve"> could </w:t>
      </w:r>
      <w:r w:rsidR="00324B8A">
        <w:t>enhance</w:t>
      </w:r>
      <w:r w:rsidR="004D08BC">
        <w:t xml:space="preserve"> </w:t>
      </w:r>
      <w:r w:rsidR="00F2685F">
        <w:t xml:space="preserve">the breadth of </w:t>
      </w:r>
      <w:r w:rsidR="004D08BC">
        <w:t>LSAY through</w:t>
      </w:r>
      <w:r w:rsidR="00E64D8B">
        <w:t xml:space="preserve"> data linkage.</w:t>
      </w:r>
      <w:r w:rsidR="003E0642">
        <w:t xml:space="preserve"> </w:t>
      </w:r>
      <w:r w:rsidR="00491171">
        <w:t xml:space="preserve">In identifying the most appropriate datasets </w:t>
      </w:r>
      <w:r w:rsidR="001574A7">
        <w:t>for</w:t>
      </w:r>
      <w:r w:rsidR="00491171">
        <w:t xml:space="preserve"> link</w:t>
      </w:r>
      <w:r w:rsidR="001574A7">
        <w:t>ing</w:t>
      </w:r>
      <w:r w:rsidR="00491171">
        <w:t xml:space="preserve"> with LSAY, </w:t>
      </w:r>
      <w:r w:rsidR="00C00082">
        <w:t xml:space="preserve">the main </w:t>
      </w:r>
      <w:r w:rsidR="00491171">
        <w:t xml:space="preserve">consideration is </w:t>
      </w:r>
      <w:r w:rsidR="00C00082">
        <w:t xml:space="preserve">whether </w:t>
      </w:r>
      <w:r w:rsidR="00491171">
        <w:t xml:space="preserve">the additional information </w:t>
      </w:r>
      <w:r w:rsidR="00C00082">
        <w:t>outweighs the cost</w:t>
      </w:r>
      <w:r w:rsidR="0034457F">
        <w:t>s associated with</w:t>
      </w:r>
      <w:r w:rsidR="00C00082">
        <w:t xml:space="preserve"> </w:t>
      </w:r>
      <w:r w:rsidR="001574A7">
        <w:t>the</w:t>
      </w:r>
      <w:r w:rsidR="00C00082">
        <w:t xml:space="preserve"> linkage. </w:t>
      </w:r>
      <w:r w:rsidR="00491171">
        <w:t xml:space="preserve">Datasets that collect information in areas where LSAY is limited </w:t>
      </w:r>
      <w:r w:rsidR="00BB2745">
        <w:t xml:space="preserve">are </w:t>
      </w:r>
      <w:r w:rsidR="00491171">
        <w:t xml:space="preserve">a natural starting point: information on outcomes prior to age 15 (when LSAY </w:t>
      </w:r>
      <w:r w:rsidR="009B5276">
        <w:t>begins</w:t>
      </w:r>
      <w:r w:rsidR="001D0606">
        <w:t xml:space="preserve">) and health information. For these areas, </w:t>
      </w:r>
      <w:r w:rsidR="00BC7B5A">
        <w:t xml:space="preserve">the National Assessment Program — Literacy and Numeracy </w:t>
      </w:r>
      <w:r w:rsidR="001D0606">
        <w:t>and Medicare data are two national co</w:t>
      </w:r>
      <w:r w:rsidR="009B5276">
        <w:t>llections used in previous data-</w:t>
      </w:r>
      <w:r w:rsidR="001D0606">
        <w:t>linkage projects that c</w:t>
      </w:r>
      <w:r w:rsidR="009B5276">
        <w:t>ould</w:t>
      </w:r>
      <w:r w:rsidR="001D0606">
        <w:t xml:space="preserve"> be explored in a potential LSAY lin</w:t>
      </w:r>
      <w:r w:rsidR="001C7621">
        <w:t>k</w:t>
      </w:r>
      <w:r w:rsidR="001D0606">
        <w:t xml:space="preserve">age project. </w:t>
      </w:r>
    </w:p>
    <w:p w:rsidR="008540B4" w:rsidRPr="00B93A5C" w:rsidRDefault="008540B4" w:rsidP="001574A7">
      <w:pPr>
        <w:pStyle w:val="Heading3"/>
      </w:pPr>
      <w:r w:rsidRPr="00B93A5C">
        <w:t>N</w:t>
      </w:r>
      <w:r w:rsidR="009F76E6">
        <w:t xml:space="preserve">ational </w:t>
      </w:r>
      <w:r w:rsidRPr="00B93A5C">
        <w:t>A</w:t>
      </w:r>
      <w:r w:rsidR="009F76E6">
        <w:t xml:space="preserve">ssessment </w:t>
      </w:r>
      <w:r w:rsidRPr="00B93A5C">
        <w:t>P</w:t>
      </w:r>
      <w:r w:rsidR="009F76E6">
        <w:t xml:space="preserve">rogram — </w:t>
      </w:r>
      <w:r w:rsidRPr="00B93A5C">
        <w:t>L</w:t>
      </w:r>
      <w:r w:rsidR="009F76E6">
        <w:t xml:space="preserve">iteracy and </w:t>
      </w:r>
      <w:r w:rsidRPr="00B93A5C">
        <w:t>N</w:t>
      </w:r>
      <w:r w:rsidR="009F76E6">
        <w:t>umeracy</w:t>
      </w:r>
    </w:p>
    <w:p w:rsidR="00AB27E9" w:rsidRDefault="008540B4" w:rsidP="00D31CB4">
      <w:pPr>
        <w:pStyle w:val="Textlessbefore"/>
      </w:pPr>
      <w:r>
        <w:t>T</w:t>
      </w:r>
      <w:r w:rsidR="009B5276">
        <w:t>he National Assessment Program — Literacy and Numeracy</w:t>
      </w:r>
      <w:r w:rsidRPr="005C2624">
        <w:t xml:space="preserve"> </w:t>
      </w:r>
      <w:r>
        <w:t xml:space="preserve">was introduced in 2008 to assess all students in </w:t>
      </w:r>
      <w:r w:rsidRPr="005C2624">
        <w:t>Years 3, 5, 7 and 9</w:t>
      </w:r>
      <w:r>
        <w:t xml:space="preserve"> in reading, writing, language c</w:t>
      </w:r>
      <w:r w:rsidRPr="005C2624">
        <w:t>onventions (</w:t>
      </w:r>
      <w:r>
        <w:t>spelling, grammar and punctuation) and n</w:t>
      </w:r>
      <w:r w:rsidRPr="005C2624">
        <w:t>umeracy.</w:t>
      </w:r>
      <w:r>
        <w:t xml:space="preserve"> Since 2003, LSAY has also featured cognitive assessment data for 15-ye</w:t>
      </w:r>
      <w:r w:rsidR="001574A7">
        <w:t>ar-olds in reading, mathematics</w:t>
      </w:r>
      <w:r>
        <w:t xml:space="preserve"> and science literacy through its integration with </w:t>
      </w:r>
      <w:r w:rsidR="006303E3">
        <w:t>the OECD’s Program</w:t>
      </w:r>
      <w:r w:rsidR="00020B92">
        <w:t>me</w:t>
      </w:r>
      <w:r w:rsidR="006303E3">
        <w:t xml:space="preserve"> for International Student Assessment</w:t>
      </w:r>
      <w:r w:rsidR="009B5276">
        <w:t>.</w:t>
      </w:r>
      <w:r w:rsidR="006303E3">
        <w:rPr>
          <w:rStyle w:val="FootnoteReference"/>
        </w:rPr>
        <w:footnoteReference w:id="11"/>
      </w:r>
      <w:r>
        <w:t xml:space="preserve"> The benefit </w:t>
      </w:r>
      <w:r w:rsidR="001574A7">
        <w:t xml:space="preserve">derived by </w:t>
      </w:r>
      <w:r>
        <w:t xml:space="preserve">linking NAPLAN scores to LSAY would be </w:t>
      </w:r>
      <w:r w:rsidR="00AB27E9">
        <w:t xml:space="preserve">access to </w:t>
      </w:r>
      <w:r>
        <w:t>literacy and numeracy development</w:t>
      </w:r>
      <w:r w:rsidR="00AB27E9">
        <w:t xml:space="preserve"> from </w:t>
      </w:r>
      <w:r w:rsidR="009B5276">
        <w:t>Year</w:t>
      </w:r>
      <w:r w:rsidR="001574A7">
        <w:t>s</w:t>
      </w:r>
      <w:r w:rsidR="00AB27E9">
        <w:t xml:space="preserve"> 3 to 9, allowing researchers to control for academic achievement at earlier ages</w:t>
      </w:r>
      <w:r>
        <w:t xml:space="preserve">. </w:t>
      </w:r>
      <w:r w:rsidR="00AB27E9">
        <w:t xml:space="preserve">Conversely, the lack of contextual information in </w:t>
      </w:r>
      <w:r>
        <w:t xml:space="preserve">NAPLAN data </w:t>
      </w:r>
      <w:r w:rsidR="00AB27E9">
        <w:t>c</w:t>
      </w:r>
      <w:r w:rsidR="001574A7">
        <w:t>ould</w:t>
      </w:r>
      <w:r w:rsidR="00AB27E9">
        <w:t xml:space="preserve"> be broadened with individual background and transi</w:t>
      </w:r>
      <w:r w:rsidR="006303E3">
        <w:t>tion data collected from LSAY.</w:t>
      </w:r>
    </w:p>
    <w:p w:rsidR="008540B4" w:rsidRDefault="009B5276" w:rsidP="008540B4">
      <w:pPr>
        <w:pStyle w:val="Text"/>
      </w:pPr>
      <w:r>
        <w:t>Unlike c</w:t>
      </w:r>
      <w:r w:rsidR="008540B4">
        <w:t xml:space="preserve">ensus data, which are held and managed centrally by the ABS, scores </w:t>
      </w:r>
      <w:r w:rsidR="00020B92">
        <w:t xml:space="preserve">from the National Assessment Program — Literacy and Numeracy </w:t>
      </w:r>
      <w:r w:rsidR="008540B4">
        <w:t xml:space="preserve">are stored by their respective state/territory governments. </w:t>
      </w:r>
      <w:r w:rsidR="00AB27E9">
        <w:t xml:space="preserve">As mentioned earlier, linking </w:t>
      </w:r>
      <w:r w:rsidR="00020B92">
        <w:t>these</w:t>
      </w:r>
      <w:r w:rsidR="00AB27E9">
        <w:t xml:space="preserve"> scores to an existing longitudinal survey has been successfully undertaken, providing a model </w:t>
      </w:r>
      <w:r w:rsidR="008540B4">
        <w:t xml:space="preserve">for linking </w:t>
      </w:r>
      <w:r w:rsidR="00BC7B5A">
        <w:t xml:space="preserve">the National Assessment Program — Literacy and Numeracy </w:t>
      </w:r>
      <w:r w:rsidR="008540B4">
        <w:t>to LSAY</w:t>
      </w:r>
      <w:r w:rsidR="00AB27E9">
        <w:t xml:space="preserve">. As outlined by </w:t>
      </w:r>
      <w:proofErr w:type="spellStart"/>
      <w:r>
        <w:t>Daraganova</w:t>
      </w:r>
      <w:proofErr w:type="spellEnd"/>
      <w:r>
        <w:t xml:space="preserve">, Edwards and </w:t>
      </w:r>
      <w:proofErr w:type="spellStart"/>
      <w:r>
        <w:t>Sipthorp</w:t>
      </w:r>
      <w:proofErr w:type="spellEnd"/>
      <w:r w:rsidR="009749A6">
        <w:t xml:space="preserve"> (2013</w:t>
      </w:r>
      <w:r w:rsidR="008540B4">
        <w:t>)</w:t>
      </w:r>
      <w:r w:rsidR="007A2B88">
        <w:t>, the steps</w:t>
      </w:r>
      <w:r w:rsidR="008540B4">
        <w:t xml:space="preserve"> for linking </w:t>
      </w:r>
      <w:r w:rsidR="00BC7B5A">
        <w:t xml:space="preserve">the National Assessment Program — Literacy and Numeracy </w:t>
      </w:r>
      <w:r w:rsidR="008540B4">
        <w:t xml:space="preserve">to </w:t>
      </w:r>
      <w:r>
        <w:t>the Longitudinal Study of Australian Children</w:t>
      </w:r>
      <w:r w:rsidR="007A2B88">
        <w:t xml:space="preserve"> </w:t>
      </w:r>
      <w:r w:rsidR="00B41921">
        <w:t>(which would be analogous for LSAY)</w:t>
      </w:r>
      <w:r w:rsidR="00020B92">
        <w:t>,</w:t>
      </w:r>
      <w:r w:rsidR="00B41921">
        <w:t xml:space="preserve"> after obtaining consent and identifying the population to match</w:t>
      </w:r>
      <w:r w:rsidR="00020B92">
        <w:t>,</w:t>
      </w:r>
      <w:r w:rsidR="00B41921">
        <w:t xml:space="preserve"> </w:t>
      </w:r>
      <w:r w:rsidR="007A2B88">
        <w:t>include</w:t>
      </w:r>
      <w:r w:rsidR="008540B4">
        <w:t>:</w:t>
      </w:r>
    </w:p>
    <w:p w:rsidR="008540B4" w:rsidRDefault="009B5276" w:rsidP="008540B4">
      <w:pPr>
        <w:pStyle w:val="Dotpoint1"/>
      </w:pPr>
      <w:r>
        <w:t>Step 1: a</w:t>
      </w:r>
      <w:r w:rsidR="001574A7">
        <w:t>s the responsible data-</w:t>
      </w:r>
      <w:r w:rsidR="008540B4">
        <w:t xml:space="preserve">integration authority, the ABS sends each </w:t>
      </w:r>
      <w:r w:rsidR="00981C90">
        <w:t xml:space="preserve">relevant </w:t>
      </w:r>
      <w:r w:rsidR="008540B4">
        <w:t xml:space="preserve">state/territory </w:t>
      </w:r>
      <w:r w:rsidR="00981C90">
        <w:t>data authority</w:t>
      </w:r>
      <w:r w:rsidR="008540B4">
        <w:t xml:space="preserve"> a list of representative identifiers (</w:t>
      </w:r>
      <w:r w:rsidR="00E754AD">
        <w:t>for example,</w:t>
      </w:r>
      <w:r w:rsidR="008540B4">
        <w:t xml:space="preserve"> first name, surname, date of birth, school name) from LSAY</w:t>
      </w:r>
      <w:r w:rsidR="00E754AD">
        <w:t>,</w:t>
      </w:r>
      <w:r w:rsidR="008540B4">
        <w:rPr>
          <w:rStyle w:val="FootnoteReference"/>
        </w:rPr>
        <w:footnoteReference w:id="12"/>
      </w:r>
      <w:r w:rsidR="008540B4">
        <w:t xml:space="preserve"> along with a dummy LSAY ID</w:t>
      </w:r>
      <w:r w:rsidR="00E754AD">
        <w:t>,</w:t>
      </w:r>
      <w:r w:rsidR="008540B4">
        <w:t xml:space="preserve"> which is different from the actual LSAY respondent ID.</w:t>
      </w:r>
    </w:p>
    <w:p w:rsidR="008540B4" w:rsidRDefault="00E754AD" w:rsidP="008540B4">
      <w:pPr>
        <w:pStyle w:val="Dotpoint1"/>
      </w:pPr>
      <w:r>
        <w:lastRenderedPageBreak/>
        <w:t>Step 2: e</w:t>
      </w:r>
      <w:r w:rsidR="008540B4">
        <w:t xml:space="preserve">ach </w:t>
      </w:r>
      <w:r w:rsidR="00981C90">
        <w:t>relevant state/territory data authority</w:t>
      </w:r>
      <w:r w:rsidR="008540B4">
        <w:t xml:space="preserve"> matches </w:t>
      </w:r>
      <w:r w:rsidR="00BC7B5A">
        <w:t xml:space="preserve">the National Assessment Program — Literacy and Numeracy </w:t>
      </w:r>
      <w:r w:rsidR="008540B4">
        <w:t>and LSAY data on the representative identifiers.</w:t>
      </w:r>
    </w:p>
    <w:p w:rsidR="008540B4" w:rsidRDefault="00E754AD" w:rsidP="008540B4">
      <w:pPr>
        <w:pStyle w:val="Dotpoint1"/>
      </w:pPr>
      <w:r>
        <w:t>Step 3: s</w:t>
      </w:r>
      <w:r w:rsidR="008540B4">
        <w:t xml:space="preserve">tates/territories send the LSAY data collection contractor a list that contains the </w:t>
      </w:r>
      <w:r w:rsidR="00020B92">
        <w:t xml:space="preserve">National Assessment Program — Literacy and Numeracy </w:t>
      </w:r>
      <w:r w:rsidR="008540B4">
        <w:t>scores against the dummy LSAY ID.</w:t>
      </w:r>
    </w:p>
    <w:p w:rsidR="008540B4" w:rsidRDefault="00E754AD" w:rsidP="008540B4">
      <w:pPr>
        <w:pStyle w:val="Dotpoint1"/>
      </w:pPr>
      <w:r>
        <w:t>Step 4: i</w:t>
      </w:r>
      <w:r w:rsidR="008540B4">
        <w:t xml:space="preserve">n order to link the </w:t>
      </w:r>
      <w:r w:rsidR="00020B92">
        <w:t xml:space="preserve">National Assessment Program — Literacy and Numeracy </w:t>
      </w:r>
      <w:r w:rsidR="008540B4">
        <w:t>scores to LSAY, the LSAY data collection contractor uses an ABS-generated concordance between the dummy LSAY ID and the actual LSAY respondent ID.</w:t>
      </w:r>
    </w:p>
    <w:p w:rsidR="005A0296" w:rsidRPr="008630E3" w:rsidRDefault="005A0296" w:rsidP="00E754AD">
      <w:pPr>
        <w:pStyle w:val="Heading3"/>
      </w:pPr>
      <w:r w:rsidRPr="00345AE9">
        <w:t>Medicare Australia</w:t>
      </w:r>
    </w:p>
    <w:p w:rsidR="005A0296" w:rsidRDefault="005A0296" w:rsidP="00D31CB4">
      <w:pPr>
        <w:pStyle w:val="Textlessbefore"/>
      </w:pPr>
      <w:r>
        <w:t>Medicare Austral</w:t>
      </w:r>
      <w:r w:rsidR="001574A7">
        <w:t>ia</w:t>
      </w:r>
      <w:r w:rsidR="00020B92">
        <w:t>,</w:t>
      </w:r>
      <w:r w:rsidR="001574A7">
        <w:t xml:space="preserve"> a Commonwealth Government</w:t>
      </w:r>
      <w:r>
        <w:t xml:space="preserve"> program</w:t>
      </w:r>
      <w:r w:rsidR="00020B92">
        <w:t>,</w:t>
      </w:r>
      <w:r>
        <w:t xml:space="preserve"> covers a wide range of health care services. Collected primarily to aid with the financing of healthcare, it is among the most accurate sources of healthcare da</w:t>
      </w:r>
      <w:r w:rsidR="00E754AD">
        <w:t xml:space="preserve">ta in Australia (Van </w:t>
      </w:r>
      <w:proofErr w:type="spellStart"/>
      <w:r w:rsidR="00E754AD">
        <w:t>Gool</w:t>
      </w:r>
      <w:proofErr w:type="spellEnd"/>
      <w:r w:rsidR="00E754AD">
        <w:t>, Parkinson &amp; Kenny</w:t>
      </w:r>
      <w:r>
        <w:t xml:space="preserve"> 2011). Medicare contains data for out-of-hospital services for all patients and in-hospital</w:t>
      </w:r>
      <w:r w:rsidR="00E754AD">
        <w:t xml:space="preserve"> services for private patients;</w:t>
      </w:r>
      <w:r>
        <w:t xml:space="preserve"> it does not contain public hospital data, as this information is managed by </w:t>
      </w:r>
      <w:r w:rsidR="00020B92">
        <w:t xml:space="preserve">the </w:t>
      </w:r>
      <w:r>
        <w:t>states and territories. Within Medicare, collections with particular relevance for data linkage with LSAY include the Medicare claims data and the Pharmaceutical Benefits Scheme (PBS). T</w:t>
      </w:r>
      <w:r w:rsidR="00E754AD">
        <w:t>he Medicare claims data include</w:t>
      </w:r>
      <w:r>
        <w:t xml:space="preserve"> vital information</w:t>
      </w:r>
      <w:r w:rsidR="002E3B2A">
        <w:t xml:space="preserve"> on</w:t>
      </w:r>
      <w:r>
        <w:t xml:space="preserve"> the date, location and type of medical service provided. The </w:t>
      </w:r>
      <w:r w:rsidR="00E754AD">
        <w:t>Pharmaceutical Benefits Scheme</w:t>
      </w:r>
      <w:r>
        <w:t xml:space="preserve"> ensures that all Australians have access to prescribed medication at a reasonable cost; data from the </w:t>
      </w:r>
      <w:r w:rsidR="001574A7">
        <w:t>scheme</w:t>
      </w:r>
      <w:r>
        <w:t xml:space="preserve"> contain information on the type of drug purchased by an individual, as well as repeat administrations.</w:t>
      </w:r>
    </w:p>
    <w:p w:rsidR="005A0296" w:rsidRDefault="005A0296" w:rsidP="005A0296">
      <w:pPr>
        <w:pStyle w:val="Text"/>
      </w:pPr>
      <w:r>
        <w:t xml:space="preserve">Among the major advantages of Medicare data from a research perspective is the accuracy and longitudinal nature of the data. Retrospective data for up to </w:t>
      </w:r>
      <w:r w:rsidR="008A47B5">
        <w:t>five years at a point in time are</w:t>
      </w:r>
      <w:r>
        <w:t xml:space="preserve"> available (Medicare Australia can hold data for maximum of five years). Linking Medicare and </w:t>
      </w:r>
      <w:r w:rsidR="00E754AD">
        <w:t>Pharmaceutical Benefits Scheme</w:t>
      </w:r>
      <w:r>
        <w:t xml:space="preserve"> claims data to LSAY would allow researchers to </w:t>
      </w:r>
      <w:r w:rsidR="00A77D9E">
        <w:t>gain</w:t>
      </w:r>
      <w:r>
        <w:t xml:space="preserve"> a more accurate and extensive picture of any medical conditions or health issues that may impact on respondents’ outcomes, as this information is currently limited in LSAY. Another b</w:t>
      </w:r>
      <w:r w:rsidR="00A77D9E">
        <w:t>enefit is that Medicare data have</w:t>
      </w:r>
      <w:r>
        <w:t xml:space="preserve"> be</w:t>
      </w:r>
      <w:r w:rsidR="00A77D9E">
        <w:t>en widely used in previous data-</w:t>
      </w:r>
      <w:r>
        <w:t>linkage projects, providing a number of models to draw on.</w:t>
      </w:r>
      <w:r w:rsidR="00BC7B5A">
        <w:t xml:space="preserve"> </w:t>
      </w:r>
    </w:p>
    <w:p w:rsidR="00F13A5A" w:rsidRDefault="00F13A5A" w:rsidP="005A0296">
      <w:pPr>
        <w:pStyle w:val="Text"/>
      </w:pPr>
      <w:r>
        <w:t>However, y</w:t>
      </w:r>
      <w:r w:rsidRPr="00F13A5A">
        <w:t>oung people in the LSAY age group are relatively low consu</w:t>
      </w:r>
      <w:r w:rsidR="00A77D9E">
        <w:t xml:space="preserve">mers of health care resources, which </w:t>
      </w:r>
      <w:proofErr w:type="gramStart"/>
      <w:r w:rsidR="00A77D9E">
        <w:t>means</w:t>
      </w:r>
      <w:proofErr w:type="gramEnd"/>
      <w:r w:rsidRPr="00F13A5A">
        <w:t xml:space="preserve"> the o</w:t>
      </w:r>
      <w:r>
        <w:t xml:space="preserve">verlap with LSAY may be low. Another issue to consider for the LSAY population is that young people are eligible for their own Medicare card at 15 </w:t>
      </w:r>
      <w:r w:rsidR="00A77D9E">
        <w:t xml:space="preserve">years of age </w:t>
      </w:r>
      <w:r>
        <w:t xml:space="preserve">but they need to enrol in Medicare. </w:t>
      </w:r>
      <w:r w:rsidR="001574A7">
        <w:t>However,</w:t>
      </w:r>
      <w:r w:rsidR="008A47B5">
        <w:t xml:space="preserve"> t</w:t>
      </w:r>
      <w:r>
        <w:t>his</w:t>
      </w:r>
      <w:r w:rsidR="008A47B5">
        <w:t xml:space="preserve"> issue c</w:t>
      </w:r>
      <w:r w:rsidR="001574A7">
        <w:t>ould</w:t>
      </w:r>
      <w:r w:rsidR="008A47B5">
        <w:t xml:space="preserve"> be remedied because Medicare can extract young people’s data even if they are still on the parental Medicare card</w:t>
      </w:r>
      <w:r>
        <w:t xml:space="preserve">. </w:t>
      </w:r>
    </w:p>
    <w:p w:rsidR="001D0606" w:rsidRDefault="001D0606" w:rsidP="00B5168A">
      <w:pPr>
        <w:pStyle w:val="Heading2"/>
      </w:pPr>
      <w:bookmarkStart w:id="55" w:name="_Toc358811269"/>
      <w:r>
        <w:t xml:space="preserve">Other potential </w:t>
      </w:r>
      <w:r w:rsidR="006303E3">
        <w:t xml:space="preserve">administrative </w:t>
      </w:r>
      <w:r>
        <w:t>data collections</w:t>
      </w:r>
      <w:bookmarkEnd w:id="55"/>
    </w:p>
    <w:p w:rsidR="001D0606" w:rsidRDefault="001D0606" w:rsidP="001D0606">
      <w:pPr>
        <w:pStyle w:val="Text"/>
      </w:pPr>
      <w:r>
        <w:t>Other administrative data collections that come to mind when considering pote</w:t>
      </w:r>
      <w:r w:rsidR="001574A7">
        <w:t xml:space="preserve">ntial data </w:t>
      </w:r>
      <w:r>
        <w:t>linkage</w:t>
      </w:r>
      <w:r w:rsidR="001574A7">
        <w:t>s</w:t>
      </w:r>
      <w:r>
        <w:t xml:space="preserve"> with LSAY are </w:t>
      </w:r>
      <w:r w:rsidR="008F3C02">
        <w:t xml:space="preserve">collections in </w:t>
      </w:r>
      <w:r>
        <w:t xml:space="preserve">areas </w:t>
      </w:r>
      <w:r w:rsidR="006303E3">
        <w:t xml:space="preserve">that are currently covered in the survey, but where data linkage would </w:t>
      </w:r>
      <w:r w:rsidR="008F3C02">
        <w:t xml:space="preserve">improve </w:t>
      </w:r>
      <w:r w:rsidR="001574A7">
        <w:t>the accuracy of the data</w:t>
      </w:r>
      <w:r w:rsidR="006303E3">
        <w:t xml:space="preserve"> as well as</w:t>
      </w:r>
      <w:r w:rsidR="008F3C02">
        <w:t xml:space="preserve"> </w:t>
      </w:r>
      <w:r w:rsidR="001574A7">
        <w:t xml:space="preserve">offer </w:t>
      </w:r>
      <w:r w:rsidR="008F3C02">
        <w:t>scope to replace existing questions with new fields t</w:t>
      </w:r>
      <w:r w:rsidR="00842767">
        <w:t>hat</w:t>
      </w:r>
      <w:r w:rsidR="008F3C02">
        <w:t xml:space="preserve"> capture</w:t>
      </w:r>
      <w:r w:rsidR="006303E3">
        <w:t xml:space="preserve"> more complex measures (</w:t>
      </w:r>
      <w:r w:rsidR="00A77D9E">
        <w:t>for example,</w:t>
      </w:r>
      <w:r w:rsidR="006303E3">
        <w:t xml:space="preserve"> </w:t>
      </w:r>
      <w:r w:rsidR="008F3C02">
        <w:t>wellbeing or social capital</w:t>
      </w:r>
      <w:r w:rsidR="006303E3">
        <w:t>)</w:t>
      </w:r>
      <w:r w:rsidR="008F3C02">
        <w:t xml:space="preserve">. </w:t>
      </w:r>
      <w:r w:rsidR="00842767">
        <w:t xml:space="preserve">However, multiple linkage efforts can be costly and a balance is needed </w:t>
      </w:r>
      <w:r w:rsidR="001574A7">
        <w:t>with</w:t>
      </w:r>
      <w:r w:rsidR="00842767">
        <w:t xml:space="preserve"> the number of datasets link</w:t>
      </w:r>
      <w:r w:rsidR="00F25D77">
        <w:t>ing to</w:t>
      </w:r>
      <w:r w:rsidR="00842767">
        <w:t xml:space="preserve"> LSAY. A decision needs to be made about which dataset </w:t>
      </w:r>
      <w:r w:rsidR="00F25D77">
        <w:t>confers</w:t>
      </w:r>
      <w:r w:rsidR="00842767">
        <w:t xml:space="preserve"> the most benefit to LSAY over and above </w:t>
      </w:r>
      <w:r w:rsidR="00020B92">
        <w:t>the</w:t>
      </w:r>
      <w:r w:rsidR="00842767">
        <w:t xml:space="preserve"> opportunity to replace existing questions. The datasets considered in this section include: </w:t>
      </w:r>
      <w:proofErr w:type="spellStart"/>
      <w:r w:rsidR="00842767" w:rsidRPr="00842767">
        <w:t>Centre</w:t>
      </w:r>
      <w:r w:rsidR="006303E3">
        <w:t>link</w:t>
      </w:r>
      <w:proofErr w:type="spellEnd"/>
      <w:r w:rsidR="00842767">
        <w:t xml:space="preserve">, </w:t>
      </w:r>
      <w:r w:rsidR="006303E3">
        <w:t xml:space="preserve">the Higher Education </w:t>
      </w:r>
      <w:r w:rsidR="000A5834">
        <w:t xml:space="preserve">Statistics Collection, the National VET Provider Collection, and </w:t>
      </w:r>
      <w:r w:rsidR="00842767">
        <w:t>the Australian Census</w:t>
      </w:r>
      <w:r w:rsidR="008F5B71">
        <w:t>.</w:t>
      </w:r>
    </w:p>
    <w:p w:rsidR="00AE3984" w:rsidRDefault="00AE3984">
      <w:pPr>
        <w:spacing w:before="0" w:line="240" w:lineRule="auto"/>
        <w:rPr>
          <w:rFonts w:ascii="Tahoma" w:hAnsi="Tahoma" w:cs="Tahoma"/>
          <w:color w:val="000000"/>
          <w:sz w:val="24"/>
        </w:rPr>
      </w:pPr>
      <w:r>
        <w:br w:type="page"/>
      </w:r>
    </w:p>
    <w:p w:rsidR="008540B4" w:rsidRPr="00C41BA6" w:rsidRDefault="008540B4" w:rsidP="00B5168A">
      <w:pPr>
        <w:pStyle w:val="Heading3"/>
      </w:pPr>
      <w:proofErr w:type="spellStart"/>
      <w:r w:rsidRPr="00C41BA6">
        <w:lastRenderedPageBreak/>
        <w:t>Centrelink</w:t>
      </w:r>
      <w:proofErr w:type="spellEnd"/>
    </w:p>
    <w:p w:rsidR="008540B4" w:rsidRDefault="008540B4" w:rsidP="00AE3984">
      <w:pPr>
        <w:pStyle w:val="Textlessbefore"/>
      </w:pPr>
      <w:proofErr w:type="spellStart"/>
      <w:r w:rsidRPr="00C41BA6">
        <w:t>Centrelink</w:t>
      </w:r>
      <w:proofErr w:type="spellEnd"/>
      <w:r w:rsidRPr="006376B9">
        <w:rPr>
          <w:i/>
        </w:rPr>
        <w:t xml:space="preserve"> </w:t>
      </w:r>
      <w:r>
        <w:t>is a Commonwealth Government program administering income support and government benefits</w:t>
      </w:r>
      <w:r w:rsidR="00B5168A">
        <w:t>,</w:t>
      </w:r>
      <w:r>
        <w:t xml:space="preserve"> including parenting and family payments, unemployment benefits, old-age and disability pensions, and student assistance. </w:t>
      </w:r>
      <w:proofErr w:type="spellStart"/>
      <w:r w:rsidRPr="00C41BA6">
        <w:t>Centrelink</w:t>
      </w:r>
      <w:proofErr w:type="spellEnd"/>
      <w:r w:rsidRPr="00C41BA6">
        <w:t xml:space="preserve"> </w:t>
      </w:r>
      <w:r>
        <w:t>payment records capture</w:t>
      </w:r>
      <w:r w:rsidR="00020B92">
        <w:t xml:space="preserve"> history on</w:t>
      </w:r>
      <w:r>
        <w:t xml:space="preserve"> individ</w:t>
      </w:r>
      <w:r w:rsidR="00DF6E14">
        <w:t>ual as well as family</w:t>
      </w:r>
      <w:r w:rsidR="00020B92">
        <w:t xml:space="preserve"> </w:t>
      </w:r>
      <w:r>
        <w:t>income</w:t>
      </w:r>
      <w:r w:rsidR="00020B92">
        <w:t xml:space="preserve"> </w:t>
      </w:r>
      <w:r>
        <w:t xml:space="preserve">support, including payment types and dates of receipt, </w:t>
      </w:r>
      <w:r w:rsidR="00DF6E14">
        <w:t xml:space="preserve">and </w:t>
      </w:r>
      <w:r>
        <w:t>provid</w:t>
      </w:r>
      <w:r w:rsidR="00DF6E14">
        <w:t>e</w:t>
      </w:r>
      <w:r>
        <w:t xml:space="preserve"> an opportunity to investigate the consequence of growing up in </w:t>
      </w:r>
      <w:r w:rsidR="008A47B5">
        <w:t>a welfare-</w:t>
      </w:r>
      <w:r>
        <w:t>dependent family and the likelihood of a youth’s future receipt of income support. The administrative records include whether parents and siblings of an individual have ever received income support or other government benefits (but note that the relationship between ‘parents’ and ‘siblings’ is an administrative one and may not be</w:t>
      </w:r>
      <w:r w:rsidR="008A47B5">
        <w:t xml:space="preserve"> biological</w:t>
      </w:r>
      <w:r>
        <w:t xml:space="preserve"> </w:t>
      </w:r>
      <w:r w:rsidR="008A47B5">
        <w:t>[</w:t>
      </w:r>
      <w:proofErr w:type="spellStart"/>
      <w:r w:rsidR="008A47B5">
        <w:t>Breunig</w:t>
      </w:r>
      <w:proofErr w:type="spellEnd"/>
      <w:r w:rsidR="008A47B5">
        <w:t xml:space="preserve"> et al.</w:t>
      </w:r>
      <w:r>
        <w:t xml:space="preserve"> 2009</w:t>
      </w:r>
      <w:r w:rsidR="008A47B5">
        <w:t>]</w:t>
      </w:r>
      <w:r>
        <w:t>). Other details collected include:</w:t>
      </w:r>
    </w:p>
    <w:p w:rsidR="008540B4" w:rsidRDefault="00DF6E14" w:rsidP="008540B4">
      <w:pPr>
        <w:pStyle w:val="Dotpoint1"/>
      </w:pPr>
      <w:r>
        <w:t>p</w:t>
      </w:r>
      <w:r w:rsidR="008540B4">
        <w:t>ersonal details (such as date of birth, sex, country of birth)</w:t>
      </w:r>
    </w:p>
    <w:p w:rsidR="008540B4" w:rsidRDefault="00DF6E14" w:rsidP="008540B4">
      <w:pPr>
        <w:pStyle w:val="Dotpoint1"/>
      </w:pPr>
      <w:r>
        <w:t>h</w:t>
      </w:r>
      <w:r w:rsidR="008540B4">
        <w:t>ousing details (such as home postcode history, accommodation history, rent type)</w:t>
      </w:r>
    </w:p>
    <w:p w:rsidR="008540B4" w:rsidRDefault="008540B4" w:rsidP="008540B4">
      <w:pPr>
        <w:pStyle w:val="Dotpoint1"/>
      </w:pPr>
      <w:r>
        <w:t>Youth homelessness or independent history (</w:t>
      </w:r>
      <w:r w:rsidR="00020B92">
        <w:t>some</w:t>
      </w:r>
      <w:r>
        <w:t xml:space="preserve"> young adults over </w:t>
      </w:r>
      <w:r w:rsidR="00DF6E14">
        <w:t>15 years may receive an ‘i</w:t>
      </w:r>
      <w:r>
        <w:t xml:space="preserve">ndependent status’ and be considered independent from their parents for the purposes of </w:t>
      </w:r>
      <w:proofErr w:type="spellStart"/>
      <w:r>
        <w:t>Centrelink</w:t>
      </w:r>
      <w:proofErr w:type="spellEnd"/>
      <w:r>
        <w:t xml:space="preserve"> p</w:t>
      </w:r>
      <w:r w:rsidR="007927F7">
        <w:t>ayments)</w:t>
      </w:r>
    </w:p>
    <w:p w:rsidR="008540B4" w:rsidRDefault="00DF6E14" w:rsidP="008540B4">
      <w:pPr>
        <w:pStyle w:val="Dotpoint1"/>
      </w:pPr>
      <w:r>
        <w:t>f</w:t>
      </w:r>
      <w:r w:rsidR="00114B7B">
        <w:t>ull-</w:t>
      </w:r>
      <w:r w:rsidR="008540B4">
        <w:t>time student history</w:t>
      </w:r>
    </w:p>
    <w:p w:rsidR="008540B4" w:rsidRDefault="00DF6E14" w:rsidP="008540B4">
      <w:pPr>
        <w:pStyle w:val="Dotpoint1"/>
      </w:pPr>
      <w:proofErr w:type="gramStart"/>
      <w:r>
        <w:t>m</w:t>
      </w:r>
      <w:r w:rsidR="007927F7">
        <w:t>arital</w:t>
      </w:r>
      <w:proofErr w:type="gramEnd"/>
      <w:r w:rsidR="007927F7">
        <w:t xml:space="preserve"> status history</w:t>
      </w:r>
      <w:r>
        <w:t>.</w:t>
      </w:r>
    </w:p>
    <w:p w:rsidR="008540B4" w:rsidRDefault="008540B4" w:rsidP="00020B92">
      <w:pPr>
        <w:pStyle w:val="Text"/>
        <w:ind w:right="141"/>
      </w:pPr>
      <w:r>
        <w:t xml:space="preserve">This administrative information has been previously used for research purposes, most notably as a population sampling frame for the Youth in Focus (YIF) survey. The </w:t>
      </w:r>
      <w:r w:rsidR="00DF6E14">
        <w:t>Youth in Focus</w:t>
      </w:r>
      <w:r>
        <w:t xml:space="preserve"> surveys </w:t>
      </w:r>
      <w:r w:rsidR="00AE06FD">
        <w:t xml:space="preserve">followed </w:t>
      </w:r>
      <w:r>
        <w:t>parents and children</w:t>
      </w:r>
      <w:r w:rsidR="00AE06FD">
        <w:t xml:space="preserve"> </w:t>
      </w:r>
      <w:r>
        <w:t xml:space="preserve">from a sample of the </w:t>
      </w:r>
      <w:proofErr w:type="spellStart"/>
      <w:r w:rsidRPr="00C41BA6">
        <w:t>Centrelink</w:t>
      </w:r>
      <w:proofErr w:type="spellEnd"/>
      <w:r>
        <w:t xml:space="preserve"> administrative dataset, with children followed up over two waves (with approximately </w:t>
      </w:r>
      <w:r w:rsidR="00843727">
        <w:t>two</w:t>
      </w:r>
      <w:r>
        <w:t xml:space="preserve"> years between waves)</w:t>
      </w:r>
      <w:r w:rsidR="00843727">
        <w:t>. Respondents were</w:t>
      </w:r>
      <w:r>
        <w:t xml:space="preserve"> asked </w:t>
      </w:r>
      <w:r w:rsidR="00843727">
        <w:t>for</w:t>
      </w:r>
      <w:r>
        <w:t xml:space="preserve"> information on employment, education, physical and mental health, attitudes and other psycho-social factors. </w:t>
      </w:r>
    </w:p>
    <w:p w:rsidR="009403ED" w:rsidRDefault="00F05EAB" w:rsidP="00AE3984">
      <w:pPr>
        <w:pStyle w:val="Text"/>
        <w:ind w:right="141"/>
      </w:pPr>
      <w:r>
        <w:t xml:space="preserve">Although LSAY captures </w:t>
      </w:r>
      <w:r w:rsidR="0023427E">
        <w:t xml:space="preserve">a </w:t>
      </w:r>
      <w:r w:rsidR="00843727">
        <w:t>great deal</w:t>
      </w:r>
      <w:r w:rsidR="0023427E">
        <w:t xml:space="preserve"> </w:t>
      </w:r>
      <w:r>
        <w:t xml:space="preserve">of information </w:t>
      </w:r>
      <w:r w:rsidR="0023427E">
        <w:t xml:space="preserve">about a respondent’s history of receiving income support, linking with the </w:t>
      </w:r>
      <w:proofErr w:type="spellStart"/>
      <w:r w:rsidR="0023427E">
        <w:t>Centrelink</w:t>
      </w:r>
      <w:proofErr w:type="spellEnd"/>
      <w:r w:rsidR="0023427E">
        <w:t xml:space="preserve"> dataset would </w:t>
      </w:r>
      <w:r w:rsidR="005C5650">
        <w:t xml:space="preserve">capture </w:t>
      </w:r>
      <w:r w:rsidR="0023427E">
        <w:t xml:space="preserve">more accurate and detailed information about their payments. For example, in the current surveys there is no distinction </w:t>
      </w:r>
      <w:r w:rsidR="00A47B37">
        <w:t>made</w:t>
      </w:r>
      <w:r w:rsidR="0023427E">
        <w:t xml:space="preserve"> between respondents who receive </w:t>
      </w:r>
      <w:r w:rsidR="0023427E" w:rsidRPr="00843727">
        <w:t>Youth Allowance</w:t>
      </w:r>
      <w:r w:rsidR="0023427E">
        <w:t xml:space="preserve"> or </w:t>
      </w:r>
      <w:proofErr w:type="spellStart"/>
      <w:r w:rsidR="0023427E" w:rsidRPr="00F25D77">
        <w:t>NewStart</w:t>
      </w:r>
      <w:proofErr w:type="spellEnd"/>
      <w:r w:rsidR="0023427E">
        <w:t xml:space="preserve"> (unemployment benefits) </w:t>
      </w:r>
      <w:r w:rsidR="000811E6">
        <w:t xml:space="preserve">or whether </w:t>
      </w:r>
      <w:r w:rsidR="005C5650">
        <w:t xml:space="preserve">respondents on </w:t>
      </w:r>
      <w:r w:rsidR="000811E6" w:rsidRPr="00843727">
        <w:t>Youth Allowance</w:t>
      </w:r>
      <w:r w:rsidR="000811E6">
        <w:t xml:space="preserve"> </w:t>
      </w:r>
      <w:r w:rsidR="005C5650">
        <w:t>are</w:t>
      </w:r>
      <w:r w:rsidR="000811E6">
        <w:t xml:space="preserve"> </w:t>
      </w:r>
      <w:r w:rsidR="0023427E">
        <w:t>‘independent’ or ‘dependent’</w:t>
      </w:r>
      <w:r w:rsidR="000811E6">
        <w:t xml:space="preserve"> recipient</w:t>
      </w:r>
      <w:r w:rsidR="005C5650">
        <w:t>s</w:t>
      </w:r>
      <w:r w:rsidR="0023427E">
        <w:t>.</w:t>
      </w:r>
      <w:r w:rsidR="000811E6">
        <w:t xml:space="preserve"> More detail about a young person’s family history of income support could also be used to </w:t>
      </w:r>
      <w:r>
        <w:t xml:space="preserve">better understand </w:t>
      </w:r>
      <w:r w:rsidR="00981C90">
        <w:t>the impact of</w:t>
      </w:r>
      <w:r>
        <w:t xml:space="preserve"> economic and social disadvantage </w:t>
      </w:r>
      <w:r w:rsidR="00020B92">
        <w:t>from one generation to the next</w:t>
      </w:r>
      <w:r>
        <w:t xml:space="preserve"> </w:t>
      </w:r>
      <w:r w:rsidR="00843727">
        <w:t xml:space="preserve">in </w:t>
      </w:r>
      <w:r>
        <w:t>identifying</w:t>
      </w:r>
      <w:r w:rsidR="00020B92">
        <w:t xml:space="preserve">, in particular, </w:t>
      </w:r>
      <w:r>
        <w:t xml:space="preserve">the </w:t>
      </w:r>
      <w:r w:rsidR="00843727">
        <w:t xml:space="preserve">most important </w:t>
      </w:r>
      <w:r>
        <w:t>mechanisms accounting for intergenerational correlation</w:t>
      </w:r>
      <w:r w:rsidR="00A47B37">
        <w:t xml:space="preserve"> in disadvantage (</w:t>
      </w:r>
      <w:proofErr w:type="spellStart"/>
      <w:r w:rsidR="00A47B37">
        <w:t>Breunig</w:t>
      </w:r>
      <w:proofErr w:type="spellEnd"/>
      <w:r w:rsidR="00A47B37">
        <w:t xml:space="preserve"> et al.</w:t>
      </w:r>
      <w:r>
        <w:t xml:space="preserve"> 2009).</w:t>
      </w:r>
    </w:p>
    <w:p w:rsidR="002F1F93" w:rsidRDefault="00623713" w:rsidP="002F1F93">
      <w:pPr>
        <w:pStyle w:val="Text"/>
      </w:pPr>
      <w:r>
        <w:t xml:space="preserve">The main issue is whether </w:t>
      </w:r>
      <w:r w:rsidR="002F1F93">
        <w:t xml:space="preserve">data linkage is warranted </w:t>
      </w:r>
      <w:r w:rsidR="00843727">
        <w:t>in the provision of</w:t>
      </w:r>
      <w:r w:rsidR="002F1F93">
        <w:t xml:space="preserve"> more detailed information about a relatively small population in LSAY. The overlap between individuals in LSAY and </w:t>
      </w:r>
      <w:proofErr w:type="spellStart"/>
      <w:r w:rsidR="002F1F93" w:rsidRPr="00C41BA6">
        <w:t>Centrelink</w:t>
      </w:r>
      <w:proofErr w:type="spellEnd"/>
      <w:r w:rsidR="002F1F93">
        <w:t xml:space="preserve"> is relatively low (26%). However, </w:t>
      </w:r>
      <w:r w:rsidR="001D4B63">
        <w:t>even with relatively smal</w:t>
      </w:r>
      <w:r w:rsidR="002E4C87">
        <w:t>l sample overlap, linked LSAY—</w:t>
      </w:r>
      <w:proofErr w:type="spellStart"/>
      <w:r w:rsidR="001D4B63">
        <w:t>Centrelink</w:t>
      </w:r>
      <w:proofErr w:type="spellEnd"/>
      <w:r w:rsidR="001D4B63">
        <w:t xml:space="preserve"> data would provide an invaluable evidence base for gen</w:t>
      </w:r>
      <w:r w:rsidR="002E4C87">
        <w:t>erating insights into the inter</w:t>
      </w:r>
      <w:r w:rsidR="001D4B63">
        <w:t xml:space="preserve">generational </w:t>
      </w:r>
      <w:r w:rsidR="00981C90">
        <w:t>impact</w:t>
      </w:r>
      <w:r w:rsidR="001D4B63">
        <w:t xml:space="preserve"> of disadvantage.</w:t>
      </w:r>
    </w:p>
    <w:p w:rsidR="001D4B63" w:rsidRDefault="002E4C87" w:rsidP="002F1F93">
      <w:pPr>
        <w:pStyle w:val="Text"/>
      </w:pPr>
      <w:r>
        <w:t>Linking</w:t>
      </w:r>
      <w:r w:rsidR="001D4B63">
        <w:t xml:space="preserve"> </w:t>
      </w:r>
      <w:proofErr w:type="spellStart"/>
      <w:r w:rsidR="001D4B63">
        <w:t>Centrelink</w:t>
      </w:r>
      <w:proofErr w:type="spellEnd"/>
      <w:r w:rsidR="001D4B63">
        <w:t xml:space="preserve"> and LSAY would require consent and linkage procedures similar to </w:t>
      </w:r>
      <w:r>
        <w:t>those</w:t>
      </w:r>
      <w:r w:rsidR="001D4B63">
        <w:t xml:space="preserve"> </w:t>
      </w:r>
      <w:r>
        <w:t>of the</w:t>
      </w:r>
      <w:r w:rsidR="001D4B63">
        <w:t xml:space="preserve"> administrative datasets</w:t>
      </w:r>
      <w:r w:rsidR="00F25D77" w:rsidRPr="00F25D77">
        <w:t xml:space="preserve"> </w:t>
      </w:r>
      <w:r w:rsidR="00F25D77">
        <w:t>previously mentioned</w:t>
      </w:r>
      <w:r w:rsidR="001D4B63">
        <w:t xml:space="preserve">, although the linkage with </w:t>
      </w:r>
      <w:proofErr w:type="spellStart"/>
      <w:r w:rsidR="001D4B63">
        <w:t>Centrelink</w:t>
      </w:r>
      <w:proofErr w:type="spellEnd"/>
      <w:r w:rsidR="001D4B63">
        <w:t xml:space="preserve"> is potentially more sensitive and would require parental consent if family records were to be included. Another consideration is the possible risk for attrition from LSAY if respondents feel that the survey is becoming too intrusive and wide-ranging, despite reassurances of confidentiality.</w:t>
      </w:r>
    </w:p>
    <w:p w:rsidR="00623713" w:rsidRPr="008B6F8D" w:rsidRDefault="00623713" w:rsidP="008B6F8D">
      <w:pPr>
        <w:pStyle w:val="Heading3"/>
        <w:rPr>
          <w:i/>
        </w:rPr>
      </w:pPr>
      <w:r>
        <w:lastRenderedPageBreak/>
        <w:t>National education and training statistics</w:t>
      </w:r>
    </w:p>
    <w:p w:rsidR="00623713" w:rsidRDefault="00623713" w:rsidP="00AE3984">
      <w:pPr>
        <w:pStyle w:val="Textlessbefore"/>
      </w:pPr>
      <w:r>
        <w:t xml:space="preserve">One of the major topic areas examined by LSAY is tertiary study, making national education and training statistics </w:t>
      </w:r>
      <w:r w:rsidR="00DE4F6D">
        <w:t xml:space="preserve">likely sources of data for </w:t>
      </w:r>
      <w:r>
        <w:t>linkage</w:t>
      </w:r>
      <w:r w:rsidR="00DE4F6D">
        <w:t xml:space="preserve"> with LSAY</w:t>
      </w:r>
      <w:r>
        <w:t xml:space="preserve">. </w:t>
      </w:r>
      <w:r w:rsidR="00DE4F6D">
        <w:t xml:space="preserve">Similar to </w:t>
      </w:r>
      <w:proofErr w:type="spellStart"/>
      <w:r w:rsidR="00DE4F6D">
        <w:t>Centrelink</w:t>
      </w:r>
      <w:proofErr w:type="spellEnd"/>
      <w:r w:rsidR="00DE4F6D">
        <w:t xml:space="preserve"> data, these statistics would provide an opportunity to replace existing questions in the survey and </w:t>
      </w:r>
      <w:r w:rsidR="00020B92">
        <w:t xml:space="preserve">have the </w:t>
      </w:r>
      <w:r w:rsidR="00DE4F6D">
        <w:t>potential</w:t>
      </w:r>
      <w:r w:rsidR="00020B92">
        <w:t xml:space="preserve"> to</w:t>
      </w:r>
      <w:r w:rsidR="00DE4F6D">
        <w:t xml:space="preserve"> broaden the information currently collected</w:t>
      </w:r>
      <w:r w:rsidR="00320661">
        <w:t xml:space="preserve"> with</w:t>
      </w:r>
      <w:r w:rsidR="00DE4F6D">
        <w:t xml:space="preserve"> additional </w:t>
      </w:r>
      <w:r w:rsidR="00320661">
        <w:t>data about tertiary institutions and subjects and courses</w:t>
      </w:r>
      <w:r w:rsidR="00DE4F6D">
        <w:t>.</w:t>
      </w:r>
      <w:r w:rsidR="00604E7D">
        <w:t xml:space="preserve"> </w:t>
      </w:r>
      <w:r w:rsidR="001C7621">
        <w:t>Again, the</w:t>
      </w:r>
      <w:r>
        <w:t xml:space="preserve"> question is whether the</w:t>
      </w:r>
      <w:r w:rsidR="00604E7D">
        <w:t xml:space="preserve">se </w:t>
      </w:r>
      <w:r>
        <w:t>benefits outweigh t</w:t>
      </w:r>
      <w:r w:rsidR="008B6F8D">
        <w:t>he associated costs of the data-</w:t>
      </w:r>
      <w:r>
        <w:t xml:space="preserve">linkage process. </w:t>
      </w:r>
      <w:r w:rsidR="00604E7D">
        <w:t>Two key collecti</w:t>
      </w:r>
      <w:r w:rsidR="00114B7B">
        <w:t>ons to consider are the Higher Education Statistics Collection and the National VET Provider Collection.</w:t>
      </w:r>
    </w:p>
    <w:p w:rsidR="00623713" w:rsidRPr="00445D09" w:rsidRDefault="00623713" w:rsidP="008B6F8D">
      <w:pPr>
        <w:pStyle w:val="Heading4"/>
      </w:pPr>
      <w:r w:rsidRPr="00445D09">
        <w:t>Higher Education Statistics Collection</w:t>
      </w:r>
    </w:p>
    <w:p w:rsidR="00623713" w:rsidRPr="00661994" w:rsidRDefault="00623713" w:rsidP="00AE3984">
      <w:pPr>
        <w:pStyle w:val="Textlessbefore"/>
      </w:pPr>
      <w:r>
        <w:t>T</w:t>
      </w:r>
      <w:r w:rsidRPr="00445D09">
        <w:t xml:space="preserve">he Higher Education Statistics Collection </w:t>
      </w:r>
      <w:r>
        <w:t xml:space="preserve">(HESC) is managed by the </w:t>
      </w:r>
      <w:r w:rsidRPr="00445D09">
        <w:t xml:space="preserve">Department </w:t>
      </w:r>
      <w:r>
        <w:t xml:space="preserve">of Industry, Innovation, </w:t>
      </w:r>
      <w:r w:rsidR="008B6F8D">
        <w:t xml:space="preserve">Climate Change, </w:t>
      </w:r>
      <w:r>
        <w:t>Science, Research and Tertiary Education (DII</w:t>
      </w:r>
      <w:r w:rsidR="008B6F8D">
        <w:t>CC</w:t>
      </w:r>
      <w:r>
        <w:t xml:space="preserve">STRE) and consists of </w:t>
      </w:r>
      <w:r w:rsidRPr="00445D09">
        <w:t>a comprehensive set of statistics relating to the provision of higher education in all Australian universities</w:t>
      </w:r>
      <w:r>
        <w:t xml:space="preserve">. </w:t>
      </w:r>
      <w:r w:rsidR="008B6F8D">
        <w:t>The Higher Education Statistics Collection</w:t>
      </w:r>
      <w:r>
        <w:t xml:space="preserve"> data relate to:</w:t>
      </w:r>
    </w:p>
    <w:p w:rsidR="00623713" w:rsidRPr="00661994" w:rsidRDefault="00623713" w:rsidP="00623713">
      <w:pPr>
        <w:pStyle w:val="Dotpoint1"/>
      </w:pPr>
      <w:r w:rsidRPr="00661994">
        <w:t>courses conducted by</w:t>
      </w:r>
      <w:r w:rsidR="004502A3">
        <w:t xml:space="preserve"> higher education institutions</w:t>
      </w:r>
    </w:p>
    <w:p w:rsidR="00623713" w:rsidRPr="00661994" w:rsidRDefault="00623713" w:rsidP="00623713">
      <w:pPr>
        <w:pStyle w:val="Dotpoint1"/>
      </w:pPr>
      <w:r w:rsidRPr="00661994">
        <w:t>numbers and characteristics o</w:t>
      </w:r>
      <w:r w:rsidR="004502A3">
        <w:t>f students undertaking courses</w:t>
      </w:r>
    </w:p>
    <w:p w:rsidR="00623713" w:rsidRPr="00661994" w:rsidRDefault="004502A3" w:rsidP="00623713">
      <w:pPr>
        <w:pStyle w:val="Dotpoint1"/>
      </w:pPr>
      <w:r>
        <w:t>student load</w:t>
      </w:r>
    </w:p>
    <w:p w:rsidR="00623713" w:rsidRPr="00661994" w:rsidRDefault="00623713" w:rsidP="00623713">
      <w:pPr>
        <w:pStyle w:val="Dotpoint1"/>
      </w:pPr>
      <w:r w:rsidRPr="00661994">
        <w:t>completion of units of study and co</w:t>
      </w:r>
      <w:r w:rsidR="004502A3">
        <w:t>urses</w:t>
      </w:r>
    </w:p>
    <w:p w:rsidR="00623713" w:rsidRPr="00661994" w:rsidRDefault="00623713" w:rsidP="00623713">
      <w:pPr>
        <w:pStyle w:val="Dotpoint1"/>
      </w:pPr>
      <w:r w:rsidRPr="00661994">
        <w:t>students' liabilities under the Higher Educat</w:t>
      </w:r>
      <w:r>
        <w:t>ion Contribution Schem</w:t>
      </w:r>
      <w:r w:rsidR="004502A3">
        <w:t>e (HECS)</w:t>
      </w:r>
    </w:p>
    <w:p w:rsidR="00623713" w:rsidRPr="00661994" w:rsidRDefault="00623713" w:rsidP="00623713">
      <w:pPr>
        <w:pStyle w:val="Dotpoint1"/>
      </w:pPr>
      <w:r w:rsidRPr="00661994">
        <w:t>numbers and characteristics of staff in</w:t>
      </w:r>
      <w:r w:rsidR="004502A3">
        <w:t xml:space="preserve"> higher education institutions</w:t>
      </w:r>
    </w:p>
    <w:p w:rsidR="00623713" w:rsidRPr="00661994" w:rsidRDefault="00623713" w:rsidP="00623713">
      <w:pPr>
        <w:pStyle w:val="Dotpoint1"/>
      </w:pPr>
      <w:r w:rsidRPr="00661994">
        <w:t>income and expenditure for</w:t>
      </w:r>
      <w:r w:rsidR="004502A3">
        <w:t xml:space="preserve"> higher education institutions</w:t>
      </w:r>
    </w:p>
    <w:p w:rsidR="00623713" w:rsidRPr="00661994" w:rsidRDefault="004502A3" w:rsidP="00623713">
      <w:pPr>
        <w:pStyle w:val="Dotpoint1"/>
      </w:pPr>
      <w:r>
        <w:t>research activity</w:t>
      </w:r>
    </w:p>
    <w:p w:rsidR="00623713" w:rsidRPr="00661994" w:rsidRDefault="00623713" w:rsidP="00623713">
      <w:pPr>
        <w:pStyle w:val="Dotpoint1"/>
      </w:pPr>
      <w:proofErr w:type="gramStart"/>
      <w:r w:rsidRPr="00661994">
        <w:t>educational</w:t>
      </w:r>
      <w:proofErr w:type="gramEnd"/>
      <w:r w:rsidRPr="00661994">
        <w:t xml:space="preserve"> profiles of</w:t>
      </w:r>
      <w:r w:rsidR="004502A3">
        <w:t xml:space="preserve"> higher education institutions</w:t>
      </w:r>
      <w:r w:rsidR="008B6F8D">
        <w:t>.</w:t>
      </w:r>
    </w:p>
    <w:p w:rsidR="001C7621" w:rsidRPr="00AE3984" w:rsidRDefault="00623713" w:rsidP="00AE3984">
      <w:pPr>
        <w:pStyle w:val="Text"/>
      </w:pPr>
      <w:r>
        <w:t xml:space="preserve">Well over 40% of respondents in the LSAY Y03 and Y06 cohorts reported having commenced university study by age 19, providing </w:t>
      </w:r>
      <w:r w:rsidR="00771116">
        <w:t xml:space="preserve">sufficient </w:t>
      </w:r>
      <w:r>
        <w:t xml:space="preserve">overlap between the two datasets to warrant further exploration of data </w:t>
      </w:r>
      <w:r w:rsidRPr="00AE3984">
        <w:t xml:space="preserve">linkage. </w:t>
      </w:r>
    </w:p>
    <w:p w:rsidR="00623713" w:rsidRDefault="00623713" w:rsidP="00AE3984">
      <w:pPr>
        <w:pStyle w:val="Text"/>
      </w:pPr>
      <w:r w:rsidRPr="00AE3984">
        <w:t>Linking relevant</w:t>
      </w:r>
      <w:r>
        <w:t xml:space="preserve"> data from the </w:t>
      </w:r>
      <w:r w:rsidR="00771116">
        <w:t>Higher Education Statistics Collection</w:t>
      </w:r>
      <w:r>
        <w:t xml:space="preserve"> may enhance LSAY in several ways.</w:t>
      </w:r>
      <w:r w:rsidR="001C7621">
        <w:t xml:space="preserve"> </w:t>
      </w:r>
      <w:r>
        <w:t xml:space="preserve">Firstly, </w:t>
      </w:r>
      <w:r w:rsidRPr="004064C5">
        <w:t>LSAY collects data up to the age of about 25</w:t>
      </w:r>
      <w:r w:rsidR="00020B92">
        <w:t xml:space="preserve"> years</w:t>
      </w:r>
      <w:r w:rsidRPr="004064C5">
        <w:t>. This means that information on higher education completion is often not ava</w:t>
      </w:r>
      <w:r>
        <w:t>ilable for young people who begi</w:t>
      </w:r>
      <w:r w:rsidRPr="004064C5">
        <w:t xml:space="preserve">n university study </w:t>
      </w:r>
      <w:r>
        <w:t xml:space="preserve">in their early </w:t>
      </w:r>
      <w:r w:rsidR="00771116">
        <w:t>20s</w:t>
      </w:r>
      <w:r>
        <w:t xml:space="preserve">. Linking completion data from the </w:t>
      </w:r>
      <w:r w:rsidR="00F25D77">
        <w:t>c</w:t>
      </w:r>
      <w:r w:rsidR="00771116">
        <w:t>ollection</w:t>
      </w:r>
      <w:r>
        <w:t xml:space="preserve"> could remedy this issue.</w:t>
      </w:r>
      <w:r w:rsidR="001C7621">
        <w:t xml:space="preserve"> </w:t>
      </w:r>
      <w:r>
        <w:t xml:space="preserve">Secondly, being able to link relevant data from the </w:t>
      </w:r>
      <w:r w:rsidR="00771116">
        <w:t>Higher Education Statistics Collection</w:t>
      </w:r>
      <w:r>
        <w:t xml:space="preserve"> would provide valuable information on </w:t>
      </w:r>
      <w:r w:rsidR="00020B92">
        <w:t xml:space="preserve">the </w:t>
      </w:r>
      <w:r>
        <w:t xml:space="preserve">higher education trajectories and outcomes for those who drop out of the survey. </w:t>
      </w:r>
      <w:r w:rsidR="00B41921">
        <w:t xml:space="preserve">More generally, data linkages such as this provide an opportunity to </w:t>
      </w:r>
      <w:r w:rsidR="00771116">
        <w:t>undertake additional</w:t>
      </w:r>
      <w:r w:rsidR="00B41921">
        <w:t xml:space="preserve"> tracking of </w:t>
      </w:r>
      <w:r w:rsidR="00771116">
        <w:t>those</w:t>
      </w:r>
      <w:r w:rsidR="00B41921">
        <w:t xml:space="preserve"> who drop out of the LSAY cohort and </w:t>
      </w:r>
      <w:r w:rsidR="00771116">
        <w:t>to determine the</w:t>
      </w:r>
      <w:r w:rsidR="00B41921">
        <w:t xml:space="preserve"> extent </w:t>
      </w:r>
      <w:r w:rsidR="00771116">
        <w:t xml:space="preserve">to which </w:t>
      </w:r>
      <w:r w:rsidR="00B41921">
        <w:t>they diverge from those who remain in the sur</w:t>
      </w:r>
      <w:r w:rsidR="00771116">
        <w:t>vey (that is,</w:t>
      </w:r>
      <w:r w:rsidR="00B41921">
        <w:t xml:space="preserve"> whether they are less likely to go on to higher education). </w:t>
      </w:r>
      <w:r>
        <w:t xml:space="preserve">LSAY cohorts usually lose over 40% of the initial sample before respondents reach the university entry stage. Moreover, attrition continues after respondents enter university. However, consent to use this information will need to be obtained from these respondents, which may be difficult as they have already ‘disengaged’ </w:t>
      </w:r>
      <w:r w:rsidR="00771116">
        <w:t>from</w:t>
      </w:r>
      <w:r>
        <w:t xml:space="preserve"> the survey and </w:t>
      </w:r>
      <w:r w:rsidR="00981C90">
        <w:t xml:space="preserve">are thus </w:t>
      </w:r>
      <w:r>
        <w:t>unlikely to consent</w:t>
      </w:r>
      <w:r w:rsidR="00B41921">
        <w:t>. This is a further argument for obtaining consent early in the lifecycle of the survey.</w:t>
      </w:r>
    </w:p>
    <w:p w:rsidR="00623713" w:rsidRDefault="00B41921" w:rsidP="00AE3984">
      <w:pPr>
        <w:pStyle w:val="Text"/>
      </w:pPr>
      <w:r>
        <w:t>Another</w:t>
      </w:r>
      <w:r w:rsidR="00623713">
        <w:t xml:space="preserve"> benefit to </w:t>
      </w:r>
      <w:r w:rsidR="00F25D77">
        <w:t>the</w:t>
      </w:r>
      <w:r w:rsidR="00623713">
        <w:t xml:space="preserve"> linkage with </w:t>
      </w:r>
      <w:r w:rsidR="00F25D77">
        <w:t>HESC</w:t>
      </w:r>
      <w:r w:rsidR="00623713">
        <w:t xml:space="preserve"> data is access to the broader institutional environment in which university study takes place (</w:t>
      </w:r>
      <w:r w:rsidR="00771116">
        <w:t>for example,</w:t>
      </w:r>
      <w:r w:rsidR="00623713">
        <w:t xml:space="preserve"> institutional profiles, staff characteristics, </w:t>
      </w:r>
      <w:r w:rsidR="00623713">
        <w:lastRenderedPageBreak/>
        <w:t xml:space="preserve">resourcing). This enables researchers to model multivariate causal relationships between individuals’ background characteristics, their secondary schooling experiences and outcomes, their university’s environment and institutional characteristics, and higher education outcomes. Such causal modelling can inform the development of interventions </w:t>
      </w:r>
      <w:r w:rsidR="00020B92">
        <w:t>for</w:t>
      </w:r>
      <w:r w:rsidR="00623713">
        <w:t xml:space="preserve"> improv</w:t>
      </w:r>
      <w:r w:rsidR="00020B92">
        <w:t>ing</w:t>
      </w:r>
      <w:r w:rsidR="00623713">
        <w:t xml:space="preserve"> higher education uptake and </w:t>
      </w:r>
      <w:r w:rsidR="00847F00">
        <w:t xml:space="preserve">the </w:t>
      </w:r>
      <w:r w:rsidR="00623713">
        <w:t>rates of degree completion. However, is this enough to replace the considerable information relating to higher education that LSAY already collects? LSAY does not collect information on the broader institut</w:t>
      </w:r>
      <w:r w:rsidR="00F25D77">
        <w:t>ional environment at university; however,</w:t>
      </w:r>
      <w:r w:rsidR="00623713">
        <w:t xml:space="preserve"> the </w:t>
      </w:r>
      <w:r w:rsidR="00847F00">
        <w:t>Higher Education Statistics Collection</w:t>
      </w:r>
      <w:r w:rsidR="00623713">
        <w:t xml:space="preserve"> data </w:t>
      </w:r>
      <w:r w:rsidR="00847F00">
        <w:t>are</w:t>
      </w:r>
      <w:r w:rsidR="00623713">
        <w:t xml:space="preserve"> not as rich as </w:t>
      </w:r>
      <w:r w:rsidR="00020B92">
        <w:t xml:space="preserve">those provided through </w:t>
      </w:r>
      <w:r w:rsidR="00623713">
        <w:t xml:space="preserve">the </w:t>
      </w:r>
      <w:r w:rsidR="00847F00">
        <w:t>Program</w:t>
      </w:r>
      <w:r w:rsidR="00020B92">
        <w:t>me</w:t>
      </w:r>
      <w:r w:rsidR="00847F00" w:rsidRPr="00492025">
        <w:t xml:space="preserve"> for International Student Assessment</w:t>
      </w:r>
      <w:r w:rsidR="00623713">
        <w:t xml:space="preserve"> in </w:t>
      </w:r>
      <w:r w:rsidR="00020B92">
        <w:t>relation to</w:t>
      </w:r>
      <w:r w:rsidR="00623713">
        <w:t xml:space="preserve"> information about school institutional factors. Another disadvantage is that </w:t>
      </w:r>
      <w:r w:rsidR="00847F00">
        <w:t>Higher Education Statistics Collection data do</w:t>
      </w:r>
      <w:r w:rsidR="00623713">
        <w:t xml:space="preserve"> not provide information on grades</w:t>
      </w:r>
      <w:r w:rsidR="00847F00">
        <w:t xml:space="preserve"> or a ‘grade point average’, which</w:t>
      </w:r>
      <w:r w:rsidR="00623713">
        <w:t xml:space="preserve"> would give researchers a useful measure of ‘success’ during tertiary studies</w:t>
      </w:r>
      <w:r w:rsidR="00847F00">
        <w:t>, one which</w:t>
      </w:r>
      <w:r w:rsidR="00623713">
        <w:t xml:space="preserve"> is not captured in LSAY. Without these additional measures, the </w:t>
      </w:r>
      <w:r w:rsidR="00847F00">
        <w:t>Higher Education Statistics Collection data only provide</w:t>
      </w:r>
      <w:r w:rsidR="00623713">
        <w:t xml:space="preserve"> supplementary information</w:t>
      </w:r>
      <w:r w:rsidR="00847F00">
        <w:t>,</w:t>
      </w:r>
      <w:r w:rsidR="00623713">
        <w:t xml:space="preserve"> which arguably does not outweigh the costs associated with data linkage. </w:t>
      </w:r>
      <w:r w:rsidR="00604E7D">
        <w:t>Further, questions about change</w:t>
      </w:r>
      <w:r w:rsidR="00F25D77">
        <w:t>s to courses, deferral</w:t>
      </w:r>
      <w:r w:rsidR="00604E7D">
        <w:t xml:space="preserve"> and reasons for not conti</w:t>
      </w:r>
      <w:r w:rsidR="00981C90">
        <w:t xml:space="preserve">nuing are not captured as they are </w:t>
      </w:r>
      <w:r w:rsidR="00604E7D">
        <w:t xml:space="preserve">in LSAY. </w:t>
      </w:r>
    </w:p>
    <w:p w:rsidR="00623713" w:rsidRDefault="00623713" w:rsidP="00847F00">
      <w:pPr>
        <w:pStyle w:val="Heading4"/>
      </w:pPr>
      <w:r>
        <w:t xml:space="preserve">National </w:t>
      </w:r>
      <w:r w:rsidRPr="00B93A5C">
        <w:t>VET Provider Collection</w:t>
      </w:r>
    </w:p>
    <w:p w:rsidR="00623713" w:rsidRDefault="00623713" w:rsidP="00AE3984">
      <w:pPr>
        <w:pStyle w:val="Textlessbefore"/>
      </w:pPr>
      <w:r>
        <w:t>The National VET Provider C</w:t>
      </w:r>
      <w:r w:rsidRPr="00323A05">
        <w:t xml:space="preserve">ollection (also known as </w:t>
      </w:r>
      <w:r>
        <w:t xml:space="preserve">the </w:t>
      </w:r>
      <w:r w:rsidRPr="00847F00">
        <w:t>Students and Courses</w:t>
      </w:r>
      <w:r>
        <w:t xml:space="preserve"> Collection) </w:t>
      </w:r>
      <w:r w:rsidRPr="00323A05">
        <w:t>provide</w:t>
      </w:r>
      <w:r>
        <w:t>s</w:t>
      </w:r>
      <w:r w:rsidRPr="00323A05">
        <w:t xml:space="preserve"> data on </w:t>
      </w:r>
      <w:r>
        <w:t xml:space="preserve">the performance of, and outputs from, Australia’s vocational education and training (VET) system (NCVER 2011b). </w:t>
      </w:r>
      <w:r w:rsidRPr="00323A05">
        <w:t xml:space="preserve">Information is collected </w:t>
      </w:r>
      <w:r>
        <w:t xml:space="preserve">annually </w:t>
      </w:r>
      <w:r w:rsidRPr="00323A05">
        <w:t xml:space="preserve">from </w:t>
      </w:r>
      <w:r>
        <w:t xml:space="preserve">all public </w:t>
      </w:r>
      <w:r w:rsidRPr="00323A05">
        <w:t>training providers</w:t>
      </w:r>
      <w:r>
        <w:t xml:space="preserve"> and those private training providers who receive</w:t>
      </w:r>
      <w:r w:rsidRPr="00323A05">
        <w:t xml:space="preserve"> government funding.</w:t>
      </w:r>
      <w:r>
        <w:t xml:space="preserve"> Records include data </w:t>
      </w:r>
      <w:r w:rsidRPr="007C6567">
        <w:t xml:space="preserve">on </w:t>
      </w:r>
      <w:r w:rsidR="00847F00">
        <w:t>training type and</w:t>
      </w:r>
      <w:r w:rsidR="00AE3984">
        <w:t> </w:t>
      </w:r>
      <w:r>
        <w:t>field of study, as well as outcomes for subject and course completions. Additional information includes course delivery type, funding source</w:t>
      </w:r>
      <w:r w:rsidRPr="007C6567">
        <w:t xml:space="preserve"> </w:t>
      </w:r>
      <w:r>
        <w:t>and recognition of prior learning (RPL).</w:t>
      </w:r>
      <w:r w:rsidR="00C04050">
        <w:t xml:space="preserve"> Over a third of Y03 respondents have commenced or completed VET studies by age 19. </w:t>
      </w:r>
    </w:p>
    <w:p w:rsidR="00623713" w:rsidRDefault="00623713" w:rsidP="00623713">
      <w:pPr>
        <w:pStyle w:val="Text"/>
      </w:pPr>
      <w:r>
        <w:t>The benefits of linking data from the National VET Provider Collection to LSAY parallel those from link</w:t>
      </w:r>
      <w:r w:rsidR="00020B92">
        <w:t>ages with</w:t>
      </w:r>
      <w:r>
        <w:t xml:space="preserve"> the </w:t>
      </w:r>
      <w:r w:rsidR="00847F00">
        <w:t>Higher Education Statistics Collection</w:t>
      </w:r>
      <w:r>
        <w:t>: providing information on subject and course outcomes; possible remedy to attrition from LSAY; and modelling causal relationships between relevant background characteristi</w:t>
      </w:r>
      <w:r w:rsidR="00847F00">
        <w:t>cs and outcomes from VET courses. But the same issues apply</w:t>
      </w:r>
      <w:r>
        <w:t>: consent to use information on those d</w:t>
      </w:r>
      <w:r w:rsidR="00847F00">
        <w:t>ropping out of the survey</w:t>
      </w:r>
      <w:r>
        <w:t xml:space="preserve"> and limited information on the broader institutional environment of the various providers. The latter is subject to more variability than in the </w:t>
      </w:r>
      <w:r w:rsidR="00847F00">
        <w:t>Higher Education Statistics Collection</w:t>
      </w:r>
      <w:r w:rsidR="00F25D77">
        <w:t xml:space="preserve"> data, making analyse</w:t>
      </w:r>
      <w:r>
        <w:t>s more difficult</w:t>
      </w:r>
      <w:r w:rsidR="00F25D77">
        <w:t>,</w:t>
      </w:r>
      <w:r>
        <w:t xml:space="preserve"> as identifying ‘institutional factors’ itself is a topic of ongoing research. Although the VET collection provides information on subject outcomes, ‘units of competencies’ is not a comparable measure to a student’s </w:t>
      </w:r>
      <w:r w:rsidR="005D3A9E">
        <w:t>grade point average</w:t>
      </w:r>
      <w:r w:rsidR="00020B92">
        <w:t>:</w:t>
      </w:r>
      <w:r>
        <w:t xml:space="preserve"> it does not provide an indicator of how well students are progressing </w:t>
      </w:r>
      <w:r w:rsidR="005D3A9E">
        <w:t>by</w:t>
      </w:r>
      <w:r>
        <w:t xml:space="preserve"> comparison </w:t>
      </w:r>
      <w:r w:rsidR="005D3A9E">
        <w:t>with</w:t>
      </w:r>
      <w:r>
        <w:t xml:space="preserve"> other students</w:t>
      </w:r>
      <w:r w:rsidR="00F25D77">
        <w:t>, one</w:t>
      </w:r>
      <w:r>
        <w:t xml:space="preserve"> that </w:t>
      </w:r>
      <w:r w:rsidR="00C04050">
        <w:t>could</w:t>
      </w:r>
      <w:r>
        <w:t xml:space="preserve"> be used to examine factors related to later employment outcomes. </w:t>
      </w:r>
      <w:r w:rsidR="00C04050">
        <w:t>It is important to no</w:t>
      </w:r>
      <w:r w:rsidR="00981C90">
        <w:t>te that the Apprenticeship and Traineeship C</w:t>
      </w:r>
      <w:r w:rsidR="00C04050">
        <w:t>ollection could also be considered for data linkage with LSAY, although a smaller proportion of LSAY respondents undertake this pathway.</w:t>
      </w:r>
    </w:p>
    <w:p w:rsidR="00C04050" w:rsidRDefault="00C04050" w:rsidP="00623713">
      <w:pPr>
        <w:pStyle w:val="Text"/>
      </w:pPr>
      <w:r>
        <w:t xml:space="preserve">The main benefit of linking these data collections with LSAY is that </w:t>
      </w:r>
      <w:r w:rsidR="005D3A9E">
        <w:t>they provide</w:t>
      </w:r>
      <w:r>
        <w:t xml:space="preserve"> an opportunity to replace the current questions in these areas with new questions to capture more complex measures. Because of the resources and time needed to undertake data linkage, it is not feasible to link all of these collections </w:t>
      </w:r>
      <w:r w:rsidR="00020B92">
        <w:t>to</w:t>
      </w:r>
      <w:r>
        <w:t xml:space="preserve"> LSAY. The degree of overlap between the populations in LSAY should be considered, as well as the extent of </w:t>
      </w:r>
      <w:r w:rsidR="005D3A9E">
        <w:t xml:space="preserve">the </w:t>
      </w:r>
      <w:r>
        <w:t>additional information that would be useful to researchers and data u</w:t>
      </w:r>
      <w:r w:rsidR="004C2F25">
        <w:t>sers.</w:t>
      </w:r>
    </w:p>
    <w:p w:rsidR="00AE3984" w:rsidRDefault="00AE3984">
      <w:pPr>
        <w:spacing w:before="0" w:line="240" w:lineRule="auto"/>
        <w:rPr>
          <w:rFonts w:ascii="Tahoma" w:hAnsi="Tahoma" w:cs="Tahoma"/>
          <w:color w:val="000000"/>
          <w:sz w:val="24"/>
        </w:rPr>
      </w:pPr>
      <w:r>
        <w:br w:type="page"/>
      </w:r>
    </w:p>
    <w:p w:rsidR="004C0B90" w:rsidRDefault="00FB5DED" w:rsidP="005D3A9E">
      <w:pPr>
        <w:pStyle w:val="Heading3"/>
      </w:pPr>
      <w:r w:rsidRPr="00AF6FD9">
        <w:lastRenderedPageBreak/>
        <w:t>Australian Census</w:t>
      </w:r>
    </w:p>
    <w:p w:rsidR="007F32CB" w:rsidRDefault="003F1CE7" w:rsidP="00AE3984">
      <w:pPr>
        <w:pStyle w:val="Textlessbefore"/>
      </w:pPr>
      <w:r>
        <w:t>Managed by the ABS</w:t>
      </w:r>
      <w:r w:rsidR="005D3A9E">
        <w:t>, the c</w:t>
      </w:r>
      <w:r w:rsidR="005A376A">
        <w:t xml:space="preserve">ensus is conducted every five years to measure key characteristics of people and dwellings in Australia. </w:t>
      </w:r>
      <w:r w:rsidR="00922719">
        <w:t>There is a high</w:t>
      </w:r>
      <w:r w:rsidR="005D3A9E">
        <w:t xml:space="preserve"> amount of overlap between the c</w:t>
      </w:r>
      <w:r w:rsidR="00922719">
        <w:t xml:space="preserve">ensus and LSAY </w:t>
      </w:r>
      <w:r w:rsidR="005D3A9E">
        <w:t>in relation to</w:t>
      </w:r>
      <w:r w:rsidR="00393E48">
        <w:t xml:space="preserve"> questions on</w:t>
      </w:r>
      <w:r w:rsidR="00922719">
        <w:t xml:space="preserve"> socio-demographic background, e</w:t>
      </w:r>
      <w:r w:rsidR="00CD13B3">
        <w:t xml:space="preserve">ducation and employment status. </w:t>
      </w:r>
      <w:r w:rsidR="007F32CB">
        <w:t>One impo</w:t>
      </w:r>
      <w:r w:rsidR="003D7C86">
        <w:t xml:space="preserve">rtant exception to this is the </w:t>
      </w:r>
      <w:r w:rsidR="007F32CB">
        <w:t xml:space="preserve">provision of neighbourhood data. </w:t>
      </w:r>
      <w:r w:rsidR="003D7C86">
        <w:t>R</w:t>
      </w:r>
      <w:r w:rsidR="007F32CB">
        <w:t>esearchers</w:t>
      </w:r>
      <w:r w:rsidR="007F32CB" w:rsidRPr="0044627E">
        <w:t xml:space="preserve"> </w:t>
      </w:r>
      <w:r w:rsidR="00F25D77">
        <w:t>agree</w:t>
      </w:r>
      <w:r w:rsidR="003D7C86">
        <w:t xml:space="preserve"> </w:t>
      </w:r>
      <w:r w:rsidR="007F32CB" w:rsidRPr="0044627E">
        <w:t xml:space="preserve">that </w:t>
      </w:r>
      <w:r w:rsidR="007F32CB">
        <w:t xml:space="preserve">neighbourhood </w:t>
      </w:r>
      <w:r w:rsidR="003D7C86">
        <w:t>attributes have a significant</w:t>
      </w:r>
      <w:r w:rsidR="00B14B93">
        <w:t xml:space="preserve">, independent </w:t>
      </w:r>
      <w:r w:rsidR="007F32CB">
        <w:t xml:space="preserve">impact on transition outcomes </w:t>
      </w:r>
      <w:r w:rsidR="00B14B93">
        <w:t>beyond</w:t>
      </w:r>
      <w:r w:rsidR="007F32CB">
        <w:t xml:space="preserve"> that of </w:t>
      </w:r>
      <w:r w:rsidR="007F32CB" w:rsidRPr="0044627E">
        <w:t xml:space="preserve">individual and family </w:t>
      </w:r>
      <w:r w:rsidR="003D7C86">
        <w:t xml:space="preserve">background </w:t>
      </w:r>
      <w:r w:rsidR="007F32CB" w:rsidRPr="0044627E">
        <w:t xml:space="preserve">characteristics </w:t>
      </w:r>
      <w:r w:rsidR="008B6F8D">
        <w:t xml:space="preserve">(Andrews, Green &amp; </w:t>
      </w:r>
      <w:proofErr w:type="spellStart"/>
      <w:r w:rsidR="00F66CFF">
        <w:t>Mangan</w:t>
      </w:r>
      <w:proofErr w:type="spellEnd"/>
      <w:r w:rsidR="007F32CB">
        <w:t xml:space="preserve"> 2004; </w:t>
      </w:r>
      <w:proofErr w:type="spellStart"/>
      <w:r w:rsidR="007F32CB">
        <w:t>Cardak</w:t>
      </w:r>
      <w:proofErr w:type="spellEnd"/>
      <w:r w:rsidR="007F32CB">
        <w:t xml:space="preserve"> &amp; McDonald </w:t>
      </w:r>
      <w:r w:rsidR="007F32CB" w:rsidRPr="002B7721">
        <w:t>2004</w:t>
      </w:r>
      <w:r w:rsidR="007F32CB">
        <w:t xml:space="preserve">). Important neighbourhood attributes that can be derived from </w:t>
      </w:r>
      <w:r w:rsidR="005D3A9E">
        <w:t>the c</w:t>
      </w:r>
      <w:r w:rsidR="003D7C86">
        <w:t>ensus</w:t>
      </w:r>
      <w:r w:rsidR="007F32CB">
        <w:t xml:space="preserve"> include area-based household income and educational profile</w:t>
      </w:r>
      <w:r w:rsidR="00020B92">
        <w:t>s</w:t>
      </w:r>
      <w:r w:rsidR="007F32CB">
        <w:t>, mobility (</w:t>
      </w:r>
      <w:r w:rsidR="005D3A9E">
        <w:t>that is,</w:t>
      </w:r>
      <w:r w:rsidR="007F32CB">
        <w:t xml:space="preserve"> the percentage of residents moving in and out of the neighbo</w:t>
      </w:r>
      <w:r w:rsidR="002A5897">
        <w:t>urhood over a five-year period)</w:t>
      </w:r>
      <w:r w:rsidR="007F32CB">
        <w:t xml:space="preserve"> and ethnic diversity</w:t>
      </w:r>
      <w:r w:rsidR="005D3A9E">
        <w:t>.</w:t>
      </w:r>
      <w:r w:rsidR="003D7C86">
        <w:rPr>
          <w:rStyle w:val="FootnoteReference"/>
        </w:rPr>
        <w:footnoteReference w:id="13"/>
      </w:r>
      <w:r w:rsidR="007F32CB">
        <w:t xml:space="preserve"> </w:t>
      </w:r>
      <w:r w:rsidR="003D7C86">
        <w:t>Linking these data</w:t>
      </w:r>
      <w:r w:rsidR="007F32CB">
        <w:t xml:space="preserve"> to LSAY </w:t>
      </w:r>
      <w:r w:rsidR="003D7C86">
        <w:t>may greatly improve the current</w:t>
      </w:r>
      <w:r w:rsidR="007F32CB">
        <w:t xml:space="preserve"> understanding of how the neighbourhood environment affects young people’s transition outcomes.</w:t>
      </w:r>
      <w:r w:rsidR="005848AD">
        <w:t xml:space="preserve"> However, postcode </w:t>
      </w:r>
      <w:r w:rsidR="00CF0286">
        <w:t>data</w:t>
      </w:r>
      <w:r w:rsidR="005848AD">
        <w:t xml:space="preserve"> </w:t>
      </w:r>
      <w:r w:rsidR="00CF2672">
        <w:t xml:space="preserve">already </w:t>
      </w:r>
      <w:r w:rsidR="005848AD">
        <w:t>collec</w:t>
      </w:r>
      <w:r w:rsidR="00726A4E">
        <w:t xml:space="preserve">ted by LSAY could arguably provide </w:t>
      </w:r>
      <w:r w:rsidR="00CF0286">
        <w:t xml:space="preserve">similar information, without the associated costs. </w:t>
      </w:r>
    </w:p>
    <w:p w:rsidR="00CF2672" w:rsidRDefault="004502A3" w:rsidP="00CF2672">
      <w:pPr>
        <w:pStyle w:val="Text"/>
      </w:pPr>
      <w:r>
        <w:t>A</w:t>
      </w:r>
      <w:r w:rsidR="003D7C86">
        <w:t xml:space="preserve"> more technical benefit </w:t>
      </w:r>
      <w:r w:rsidR="00A67641">
        <w:t>of lin</w:t>
      </w:r>
      <w:r w:rsidR="002A5897">
        <w:t>king c</w:t>
      </w:r>
      <w:r w:rsidR="00153195">
        <w:t>ensus data to LSAY lies</w:t>
      </w:r>
      <w:r w:rsidR="00A67641">
        <w:t xml:space="preserve"> in </w:t>
      </w:r>
      <w:r w:rsidR="00A51B64">
        <w:t>address</w:t>
      </w:r>
      <w:r w:rsidR="00A67641">
        <w:t>ing</w:t>
      </w:r>
      <w:r w:rsidR="00A51B64">
        <w:t xml:space="preserve"> </w:t>
      </w:r>
      <w:r w:rsidR="005F3DAC">
        <w:t>the issue of</w:t>
      </w:r>
      <w:r w:rsidR="003A5E0E">
        <w:t xml:space="preserve"> </w:t>
      </w:r>
      <w:r w:rsidR="00A67641">
        <w:t>su</w:t>
      </w:r>
      <w:r w:rsidR="00A67641" w:rsidRPr="00A67641">
        <w:t xml:space="preserve">rvey </w:t>
      </w:r>
      <w:r w:rsidR="003A5E0E" w:rsidRPr="00A67641">
        <w:t>attrition.</w:t>
      </w:r>
      <w:r w:rsidR="005F3DAC" w:rsidRPr="00A67641">
        <w:t xml:space="preserve"> </w:t>
      </w:r>
      <w:r w:rsidR="00D91566">
        <w:t>A</w:t>
      </w:r>
      <w:r w:rsidR="003A5E0E">
        <w:t xml:space="preserve">ttrition from </w:t>
      </w:r>
      <w:r w:rsidR="00393E48">
        <w:t xml:space="preserve">the </w:t>
      </w:r>
      <w:r w:rsidR="00A51B64">
        <w:t xml:space="preserve">LSAY </w:t>
      </w:r>
      <w:r w:rsidR="00393E48">
        <w:t>Y06 cohort</w:t>
      </w:r>
      <w:r w:rsidR="00D91566">
        <w:t>, for instance,</w:t>
      </w:r>
      <w:r w:rsidR="00393E48">
        <w:t xml:space="preserve"> </w:t>
      </w:r>
      <w:r w:rsidR="00020B92">
        <w:t>has been</w:t>
      </w:r>
      <w:r w:rsidR="003A5E0E">
        <w:t xml:space="preserve"> quite </w:t>
      </w:r>
      <w:r w:rsidR="006D3E1C">
        <w:t>high</w:t>
      </w:r>
      <w:r w:rsidR="002A5F2F">
        <w:t xml:space="preserve"> </w:t>
      </w:r>
      <w:r w:rsidR="00D91566">
        <w:t>over</w:t>
      </w:r>
      <w:r w:rsidR="006E1E5D">
        <w:t xml:space="preserve"> the first few</w:t>
      </w:r>
      <w:r w:rsidR="00393E48">
        <w:t xml:space="preserve"> survey </w:t>
      </w:r>
      <w:r w:rsidR="006E1E5D">
        <w:t xml:space="preserve">waves </w:t>
      </w:r>
      <w:r w:rsidR="002A5897">
        <w:t>(see t</w:t>
      </w:r>
      <w:r w:rsidR="002A5F2F">
        <w:t>able 6)</w:t>
      </w:r>
      <w:r w:rsidR="00A51B64">
        <w:t>.</w:t>
      </w:r>
      <w:r w:rsidR="009C50EF">
        <w:t xml:space="preserve"> L</w:t>
      </w:r>
      <w:r w:rsidR="00A23A12">
        <w:t xml:space="preserve">inking data from </w:t>
      </w:r>
      <w:r w:rsidR="001175B9">
        <w:t>the 2011</w:t>
      </w:r>
      <w:r w:rsidR="002A5897">
        <w:t xml:space="preserve"> c</w:t>
      </w:r>
      <w:r w:rsidR="006E1E5D">
        <w:t>ensus to this</w:t>
      </w:r>
      <w:r w:rsidR="00393E48">
        <w:t xml:space="preserve"> </w:t>
      </w:r>
      <w:r w:rsidR="006E1E5D">
        <w:t xml:space="preserve">and other cohorts </w:t>
      </w:r>
      <w:r w:rsidR="00393E48">
        <w:t>w</w:t>
      </w:r>
      <w:r w:rsidR="002A5F2F">
        <w:t>ould</w:t>
      </w:r>
      <w:r w:rsidR="009C50EF">
        <w:t xml:space="preserve"> provide an </w:t>
      </w:r>
      <w:r w:rsidR="00393E48">
        <w:t xml:space="preserve">opportunity to ‘backfill’ </w:t>
      </w:r>
      <w:r w:rsidR="00CD13B3">
        <w:t xml:space="preserve">key </w:t>
      </w:r>
      <w:r w:rsidR="006D3E1C">
        <w:t xml:space="preserve">socio-demographic </w:t>
      </w:r>
      <w:r w:rsidR="00CD13B3">
        <w:t>background data</w:t>
      </w:r>
      <w:r w:rsidR="009C50EF">
        <w:t xml:space="preserve"> for LSAY </w:t>
      </w:r>
      <w:r w:rsidR="006E1E5D">
        <w:t>respondents who dropped out</w:t>
      </w:r>
      <w:r w:rsidR="001175B9">
        <w:t xml:space="preserve"> prior to 2011</w:t>
      </w:r>
      <w:r w:rsidR="009C50EF">
        <w:t>.</w:t>
      </w:r>
      <w:r w:rsidR="00CF0286">
        <w:t xml:space="preserve"> </w:t>
      </w:r>
      <w:r w:rsidR="00F25D77">
        <w:t>However</w:t>
      </w:r>
      <w:r w:rsidR="0037672D">
        <w:t>, t</w:t>
      </w:r>
      <w:r w:rsidR="00CF2672">
        <w:t xml:space="preserve">his option relates more to </w:t>
      </w:r>
      <w:r w:rsidR="002A5897">
        <w:t xml:space="preserve">the </w:t>
      </w:r>
      <w:r w:rsidR="00CF2672">
        <w:t xml:space="preserve">sampling design in LSAY rather than </w:t>
      </w:r>
      <w:r w:rsidR="002A5897">
        <w:t>being</w:t>
      </w:r>
      <w:r w:rsidR="00CF2672">
        <w:t xml:space="preserve"> an option for data linkage.  </w:t>
      </w:r>
    </w:p>
    <w:p w:rsidR="00A51B64" w:rsidRDefault="00AF6FD9" w:rsidP="004B1B3D">
      <w:pPr>
        <w:pStyle w:val="tabletitle"/>
      </w:pPr>
      <w:bookmarkStart w:id="56" w:name="_Toc358811321"/>
      <w:r>
        <w:t xml:space="preserve">Table </w:t>
      </w:r>
      <w:r w:rsidR="003A5E0E">
        <w:t>6</w:t>
      </w:r>
      <w:r>
        <w:tab/>
      </w:r>
      <w:r w:rsidR="007B0955">
        <w:t>Attrition in the LSAY Y06 cohort</w:t>
      </w:r>
      <w:bookmarkEnd w:id="56"/>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16"/>
        <w:gridCol w:w="1294"/>
        <w:gridCol w:w="1295"/>
        <w:gridCol w:w="1294"/>
        <w:gridCol w:w="1295"/>
        <w:gridCol w:w="1295"/>
      </w:tblGrid>
      <w:tr w:rsidR="00AF6FD9" w:rsidRPr="00AF6FD9" w:rsidTr="00AE3984">
        <w:tc>
          <w:tcPr>
            <w:tcW w:w="2316" w:type="dxa"/>
            <w:tcBorders>
              <w:top w:val="single" w:sz="4" w:space="0" w:color="000000" w:themeColor="text1"/>
              <w:bottom w:val="single" w:sz="4" w:space="0" w:color="000000" w:themeColor="text1"/>
            </w:tcBorders>
          </w:tcPr>
          <w:p w:rsidR="00AF6FD9" w:rsidRPr="007B0955" w:rsidRDefault="00AF6FD9" w:rsidP="00AE3984">
            <w:pPr>
              <w:pStyle w:val="Tablehead1"/>
            </w:pPr>
            <w:r w:rsidRPr="007B0955">
              <w:t>Year</w:t>
            </w:r>
          </w:p>
        </w:tc>
        <w:tc>
          <w:tcPr>
            <w:tcW w:w="1294" w:type="dxa"/>
            <w:tcBorders>
              <w:top w:val="single" w:sz="4" w:space="0" w:color="000000" w:themeColor="text1"/>
              <w:bottom w:val="single" w:sz="4" w:space="0" w:color="000000" w:themeColor="text1"/>
            </w:tcBorders>
          </w:tcPr>
          <w:p w:rsidR="00AF6FD9" w:rsidRPr="00AF6FD9" w:rsidRDefault="00AF6FD9" w:rsidP="00AE3984">
            <w:pPr>
              <w:pStyle w:val="Tablehead1"/>
              <w:jc w:val="center"/>
              <w:rPr>
                <w:bCs/>
              </w:rPr>
            </w:pPr>
            <w:r w:rsidRPr="00AF6FD9">
              <w:rPr>
                <w:bCs/>
              </w:rPr>
              <w:t>2006</w:t>
            </w:r>
          </w:p>
        </w:tc>
        <w:tc>
          <w:tcPr>
            <w:tcW w:w="1295" w:type="dxa"/>
            <w:tcBorders>
              <w:top w:val="single" w:sz="4" w:space="0" w:color="000000" w:themeColor="text1"/>
              <w:bottom w:val="single" w:sz="4" w:space="0" w:color="000000" w:themeColor="text1"/>
            </w:tcBorders>
          </w:tcPr>
          <w:p w:rsidR="00AF6FD9" w:rsidRPr="00AF6FD9" w:rsidRDefault="00AF6FD9" w:rsidP="00AE3984">
            <w:pPr>
              <w:pStyle w:val="Tablehead1"/>
              <w:jc w:val="center"/>
              <w:rPr>
                <w:bCs/>
              </w:rPr>
            </w:pPr>
            <w:r w:rsidRPr="00AF6FD9">
              <w:rPr>
                <w:bCs/>
              </w:rPr>
              <w:t>2007</w:t>
            </w:r>
          </w:p>
        </w:tc>
        <w:tc>
          <w:tcPr>
            <w:tcW w:w="1294" w:type="dxa"/>
            <w:tcBorders>
              <w:top w:val="single" w:sz="4" w:space="0" w:color="000000" w:themeColor="text1"/>
              <w:bottom w:val="single" w:sz="4" w:space="0" w:color="000000" w:themeColor="text1"/>
            </w:tcBorders>
          </w:tcPr>
          <w:p w:rsidR="00AF6FD9" w:rsidRPr="00AF6FD9" w:rsidRDefault="00AF6FD9" w:rsidP="00AE3984">
            <w:pPr>
              <w:pStyle w:val="Tablehead1"/>
              <w:jc w:val="center"/>
              <w:rPr>
                <w:bCs/>
              </w:rPr>
            </w:pPr>
            <w:r w:rsidRPr="00AF6FD9">
              <w:rPr>
                <w:bCs/>
              </w:rPr>
              <w:t>2008</w:t>
            </w:r>
          </w:p>
        </w:tc>
        <w:tc>
          <w:tcPr>
            <w:tcW w:w="1295" w:type="dxa"/>
            <w:tcBorders>
              <w:top w:val="single" w:sz="4" w:space="0" w:color="000000" w:themeColor="text1"/>
              <w:bottom w:val="single" w:sz="4" w:space="0" w:color="000000" w:themeColor="text1"/>
            </w:tcBorders>
          </w:tcPr>
          <w:p w:rsidR="00AF6FD9" w:rsidRPr="00AF6FD9" w:rsidRDefault="00AF6FD9" w:rsidP="00AE3984">
            <w:pPr>
              <w:pStyle w:val="Tablehead1"/>
              <w:jc w:val="center"/>
              <w:rPr>
                <w:bCs/>
              </w:rPr>
            </w:pPr>
            <w:r w:rsidRPr="00AF6FD9">
              <w:rPr>
                <w:bCs/>
              </w:rPr>
              <w:t>2009</w:t>
            </w:r>
          </w:p>
        </w:tc>
        <w:tc>
          <w:tcPr>
            <w:tcW w:w="1295" w:type="dxa"/>
            <w:tcBorders>
              <w:top w:val="single" w:sz="4" w:space="0" w:color="000000" w:themeColor="text1"/>
              <w:bottom w:val="single" w:sz="4" w:space="0" w:color="000000" w:themeColor="text1"/>
            </w:tcBorders>
          </w:tcPr>
          <w:p w:rsidR="00AF6FD9" w:rsidRPr="00AF6FD9" w:rsidRDefault="00AF6FD9" w:rsidP="00AE3984">
            <w:pPr>
              <w:pStyle w:val="Tablehead1"/>
              <w:jc w:val="center"/>
              <w:rPr>
                <w:bCs/>
              </w:rPr>
            </w:pPr>
            <w:r w:rsidRPr="00AF6FD9">
              <w:rPr>
                <w:bCs/>
              </w:rPr>
              <w:t>2010</w:t>
            </w:r>
          </w:p>
        </w:tc>
      </w:tr>
      <w:tr w:rsidR="00AF6FD9" w:rsidTr="00AE3984">
        <w:tc>
          <w:tcPr>
            <w:tcW w:w="2316" w:type="dxa"/>
            <w:tcBorders>
              <w:top w:val="single" w:sz="4" w:space="0" w:color="000000" w:themeColor="text1"/>
            </w:tcBorders>
            <w:vAlign w:val="bottom"/>
          </w:tcPr>
          <w:p w:rsidR="00AF6FD9" w:rsidRPr="007B0955" w:rsidRDefault="00AF6FD9" w:rsidP="00AE3984">
            <w:pPr>
              <w:pStyle w:val="Tabletext"/>
            </w:pPr>
            <w:r w:rsidRPr="007B0955">
              <w:t>No. of respondents</w:t>
            </w:r>
          </w:p>
        </w:tc>
        <w:tc>
          <w:tcPr>
            <w:tcW w:w="1294" w:type="dxa"/>
            <w:tcBorders>
              <w:top w:val="single" w:sz="4" w:space="0" w:color="000000" w:themeColor="text1"/>
            </w:tcBorders>
          </w:tcPr>
          <w:p w:rsidR="00AF6FD9" w:rsidRDefault="003B7BA4" w:rsidP="00AE3984">
            <w:pPr>
              <w:pStyle w:val="Tabletext"/>
              <w:jc w:val="center"/>
            </w:pPr>
            <w:r>
              <w:t xml:space="preserve">14 </w:t>
            </w:r>
            <w:r w:rsidR="00AF6FD9">
              <w:t>170</w:t>
            </w:r>
          </w:p>
        </w:tc>
        <w:tc>
          <w:tcPr>
            <w:tcW w:w="1295" w:type="dxa"/>
            <w:tcBorders>
              <w:top w:val="single" w:sz="4" w:space="0" w:color="000000" w:themeColor="text1"/>
            </w:tcBorders>
          </w:tcPr>
          <w:p w:rsidR="00AF6FD9" w:rsidRDefault="003B7BA4" w:rsidP="00AE3984">
            <w:pPr>
              <w:pStyle w:val="Tabletext"/>
              <w:jc w:val="center"/>
            </w:pPr>
            <w:r>
              <w:t xml:space="preserve">9 </w:t>
            </w:r>
            <w:r w:rsidR="00AF6FD9">
              <w:t>353</w:t>
            </w:r>
          </w:p>
        </w:tc>
        <w:tc>
          <w:tcPr>
            <w:tcW w:w="1294" w:type="dxa"/>
            <w:tcBorders>
              <w:top w:val="single" w:sz="4" w:space="0" w:color="000000" w:themeColor="text1"/>
            </w:tcBorders>
          </w:tcPr>
          <w:p w:rsidR="00AF6FD9" w:rsidRDefault="003B7BA4" w:rsidP="00AE3984">
            <w:pPr>
              <w:pStyle w:val="Tabletext"/>
              <w:jc w:val="center"/>
            </w:pPr>
            <w:r>
              <w:t xml:space="preserve">8 </w:t>
            </w:r>
            <w:r w:rsidR="00AF6FD9">
              <w:t>380</w:t>
            </w:r>
          </w:p>
        </w:tc>
        <w:tc>
          <w:tcPr>
            <w:tcW w:w="1295" w:type="dxa"/>
            <w:tcBorders>
              <w:top w:val="single" w:sz="4" w:space="0" w:color="000000" w:themeColor="text1"/>
            </w:tcBorders>
          </w:tcPr>
          <w:p w:rsidR="00AF6FD9" w:rsidRDefault="003B7BA4" w:rsidP="00AE3984">
            <w:pPr>
              <w:pStyle w:val="Tabletext"/>
              <w:jc w:val="center"/>
            </w:pPr>
            <w:r>
              <w:t xml:space="preserve">7 </w:t>
            </w:r>
            <w:r w:rsidR="00AF6FD9">
              <w:t>299</w:t>
            </w:r>
          </w:p>
        </w:tc>
        <w:tc>
          <w:tcPr>
            <w:tcW w:w="1295" w:type="dxa"/>
            <w:tcBorders>
              <w:top w:val="single" w:sz="4" w:space="0" w:color="000000" w:themeColor="text1"/>
            </w:tcBorders>
          </w:tcPr>
          <w:p w:rsidR="00AF6FD9" w:rsidRDefault="003B7BA4" w:rsidP="00AE3984">
            <w:pPr>
              <w:pStyle w:val="Tabletext"/>
              <w:jc w:val="center"/>
            </w:pPr>
            <w:r>
              <w:t xml:space="preserve">6 </w:t>
            </w:r>
            <w:r w:rsidR="00AF6FD9">
              <w:t>316</w:t>
            </w:r>
          </w:p>
        </w:tc>
      </w:tr>
      <w:tr w:rsidR="00AF6FD9" w:rsidTr="00AE3984">
        <w:tc>
          <w:tcPr>
            <w:tcW w:w="2316" w:type="dxa"/>
            <w:tcBorders>
              <w:bottom w:val="single" w:sz="4" w:space="0" w:color="000000" w:themeColor="text1"/>
            </w:tcBorders>
            <w:vAlign w:val="bottom"/>
          </w:tcPr>
          <w:p w:rsidR="00AF6FD9" w:rsidRPr="007B0955" w:rsidRDefault="00AF6FD9" w:rsidP="00AE3984">
            <w:pPr>
              <w:pStyle w:val="Tabletext"/>
            </w:pPr>
            <w:r w:rsidRPr="007B0955">
              <w:t>% of initial sample</w:t>
            </w:r>
          </w:p>
        </w:tc>
        <w:tc>
          <w:tcPr>
            <w:tcW w:w="1294" w:type="dxa"/>
            <w:tcBorders>
              <w:bottom w:val="single" w:sz="4" w:space="0" w:color="000000" w:themeColor="text1"/>
            </w:tcBorders>
          </w:tcPr>
          <w:p w:rsidR="00AF6FD9" w:rsidRDefault="00AF6FD9" w:rsidP="00AE3984">
            <w:pPr>
              <w:pStyle w:val="Tabletext"/>
              <w:jc w:val="center"/>
            </w:pPr>
            <w:r>
              <w:t>100</w:t>
            </w:r>
            <w:r w:rsidR="004B1B3D">
              <w:t>.0</w:t>
            </w:r>
          </w:p>
        </w:tc>
        <w:tc>
          <w:tcPr>
            <w:tcW w:w="1295" w:type="dxa"/>
            <w:tcBorders>
              <w:bottom w:val="single" w:sz="4" w:space="0" w:color="000000" w:themeColor="text1"/>
            </w:tcBorders>
          </w:tcPr>
          <w:p w:rsidR="00AF6FD9" w:rsidRDefault="00AF6FD9" w:rsidP="00AE3984">
            <w:pPr>
              <w:pStyle w:val="Tabletext"/>
              <w:jc w:val="center"/>
            </w:pPr>
            <w:r>
              <w:t>66.0</w:t>
            </w:r>
          </w:p>
        </w:tc>
        <w:tc>
          <w:tcPr>
            <w:tcW w:w="1294" w:type="dxa"/>
            <w:tcBorders>
              <w:bottom w:val="single" w:sz="4" w:space="0" w:color="000000" w:themeColor="text1"/>
            </w:tcBorders>
          </w:tcPr>
          <w:p w:rsidR="00AF6FD9" w:rsidRDefault="00AF6FD9" w:rsidP="00AE3984">
            <w:pPr>
              <w:pStyle w:val="Tabletext"/>
              <w:jc w:val="center"/>
            </w:pPr>
            <w:r>
              <w:t>59.1</w:t>
            </w:r>
          </w:p>
        </w:tc>
        <w:tc>
          <w:tcPr>
            <w:tcW w:w="1295" w:type="dxa"/>
            <w:tcBorders>
              <w:bottom w:val="single" w:sz="4" w:space="0" w:color="000000" w:themeColor="text1"/>
            </w:tcBorders>
          </w:tcPr>
          <w:p w:rsidR="00AF6FD9" w:rsidRDefault="00AF6FD9" w:rsidP="00AE3984">
            <w:pPr>
              <w:pStyle w:val="Tabletext"/>
              <w:jc w:val="center"/>
            </w:pPr>
            <w:r>
              <w:t>51.5</w:t>
            </w:r>
          </w:p>
        </w:tc>
        <w:tc>
          <w:tcPr>
            <w:tcW w:w="1295" w:type="dxa"/>
            <w:tcBorders>
              <w:bottom w:val="single" w:sz="4" w:space="0" w:color="000000" w:themeColor="text1"/>
            </w:tcBorders>
          </w:tcPr>
          <w:p w:rsidR="00AF6FD9" w:rsidRDefault="00AF6FD9" w:rsidP="00AE3984">
            <w:pPr>
              <w:pStyle w:val="Tabletext"/>
              <w:jc w:val="center"/>
            </w:pPr>
            <w:r>
              <w:t>44.6</w:t>
            </w:r>
          </w:p>
        </w:tc>
      </w:tr>
    </w:tbl>
    <w:p w:rsidR="00FF733C" w:rsidRPr="00213448" w:rsidRDefault="00FF733C">
      <w:pPr>
        <w:spacing w:before="0" w:line="240" w:lineRule="auto"/>
        <w:rPr>
          <w:rFonts w:ascii="Tahoma" w:hAnsi="Tahoma" w:cs="Tahoma"/>
          <w:sz w:val="28"/>
        </w:rPr>
      </w:pPr>
    </w:p>
    <w:p w:rsidR="00B41921" w:rsidRDefault="00B41921">
      <w:pPr>
        <w:spacing w:before="0" w:line="240" w:lineRule="auto"/>
        <w:rPr>
          <w:rFonts w:ascii="Tahoma" w:hAnsi="Tahoma" w:cs="Tahoma"/>
          <w:color w:val="000000"/>
          <w:kern w:val="28"/>
          <w:sz w:val="56"/>
          <w:szCs w:val="56"/>
        </w:rPr>
      </w:pPr>
      <w:r>
        <w:br w:type="page"/>
      </w:r>
    </w:p>
    <w:p w:rsidR="000979F1" w:rsidRPr="00213448" w:rsidRDefault="000E740B" w:rsidP="00FF733C">
      <w:pPr>
        <w:pStyle w:val="Heading1"/>
      </w:pPr>
      <w:bookmarkStart w:id="57" w:name="_Toc358811270"/>
      <w:r>
        <w:lastRenderedPageBreak/>
        <w:t>Statistical matching</w:t>
      </w:r>
      <w:bookmarkEnd w:id="57"/>
    </w:p>
    <w:p w:rsidR="000E740B" w:rsidRDefault="000E740B" w:rsidP="006D09F6">
      <w:pPr>
        <w:pStyle w:val="Text"/>
        <w:ind w:right="-143"/>
      </w:pPr>
      <w:r>
        <w:t>Another method of incorporating external data to broaden the scope of LSAY is statistical</w:t>
      </w:r>
      <w:r w:rsidR="002A5897">
        <w:t>ly</w:t>
      </w:r>
      <w:r>
        <w:t xml:space="preserve"> matching </w:t>
      </w:r>
      <w:r w:rsidR="002A5897">
        <w:t>it</w:t>
      </w:r>
      <w:r w:rsidR="006D09F6">
        <w:t> </w:t>
      </w:r>
      <w:r>
        <w:t xml:space="preserve">to another data source that provides relevant information </w:t>
      </w:r>
      <w:r w:rsidR="002A5897">
        <w:t>for</w:t>
      </w:r>
      <w:r>
        <w:t xml:space="preserve"> expl</w:t>
      </w:r>
      <w:r w:rsidR="002A5897">
        <w:t>oring</w:t>
      </w:r>
      <w:r>
        <w:t xml:space="preserve"> </w:t>
      </w:r>
      <w:r w:rsidR="006D09F6">
        <w:t xml:space="preserve">the </w:t>
      </w:r>
      <w:r>
        <w:t xml:space="preserve">youth transitions currently </w:t>
      </w:r>
      <w:r w:rsidR="00981C90">
        <w:t xml:space="preserve">not captured in LSAY. </w:t>
      </w:r>
      <w:r w:rsidR="002A5897">
        <w:t>Because of its focus on early childhood development — unlike LSAY, which captures data on youth transitions from age 15 — o</w:t>
      </w:r>
      <w:r w:rsidR="00981C90">
        <w:t xml:space="preserve">ne </w:t>
      </w:r>
      <w:r>
        <w:t xml:space="preserve">dataset </w:t>
      </w:r>
      <w:r w:rsidR="002A5897">
        <w:t>that could potentially be</w:t>
      </w:r>
      <w:r>
        <w:t xml:space="preserve"> combine</w:t>
      </w:r>
      <w:r w:rsidR="002A5897">
        <w:t>d</w:t>
      </w:r>
      <w:r>
        <w:t xml:space="preserve"> </w:t>
      </w:r>
      <w:r w:rsidR="00981C90">
        <w:t xml:space="preserve">with LSAY is </w:t>
      </w:r>
      <w:r w:rsidR="002A5897">
        <w:t>the Longitudinal S</w:t>
      </w:r>
      <w:r w:rsidR="00F25D77">
        <w:t>tudy</w:t>
      </w:r>
      <w:r w:rsidR="002A5897">
        <w:t xml:space="preserve"> of Australian Children. B</w:t>
      </w:r>
      <w:r>
        <w:t>oth surveys share two key objectives:</w:t>
      </w:r>
    </w:p>
    <w:p w:rsidR="000E740B" w:rsidRDefault="00F40039" w:rsidP="000E740B">
      <w:pPr>
        <w:pStyle w:val="Dotpoint1"/>
      </w:pPr>
      <w:r>
        <w:t xml:space="preserve">to identify factors early </w:t>
      </w:r>
      <w:r w:rsidR="000E740B">
        <w:t>on that c</w:t>
      </w:r>
      <w:r w:rsidR="00F25D77">
        <w:t>ould</w:t>
      </w:r>
      <w:r w:rsidR="000E740B">
        <w:t xml:space="preserve"> increase the risk of</w:t>
      </w:r>
      <w:r>
        <w:t xml:space="preserve"> negative outcomes in adulthood</w:t>
      </w:r>
    </w:p>
    <w:p w:rsidR="000E740B" w:rsidRDefault="00F40039" w:rsidP="000E740B">
      <w:pPr>
        <w:pStyle w:val="Dotpoint1"/>
      </w:pPr>
      <w:proofErr w:type="gramStart"/>
      <w:r>
        <w:t>t</w:t>
      </w:r>
      <w:r w:rsidR="000E740B">
        <w:t>o</w:t>
      </w:r>
      <w:proofErr w:type="gramEnd"/>
      <w:r w:rsidR="000E740B">
        <w:t xml:space="preserve"> isolate interventions that </w:t>
      </w:r>
      <w:r w:rsidR="00F25D77">
        <w:t>could</w:t>
      </w:r>
      <w:r w:rsidR="000E740B">
        <w:t xml:space="preserve"> remedy these risk factors.</w:t>
      </w:r>
    </w:p>
    <w:p w:rsidR="000E740B" w:rsidRDefault="000E740B" w:rsidP="000E740B">
      <w:pPr>
        <w:pStyle w:val="Text"/>
      </w:pPr>
      <w:r>
        <w:t xml:space="preserve">If it were feasible to add relevant information from </w:t>
      </w:r>
      <w:r w:rsidR="0004361E">
        <w:t>the Longitudinal Study of Australian Children</w:t>
      </w:r>
      <w:r>
        <w:t xml:space="preserve"> to LSAY, researchers would be able to</w:t>
      </w:r>
      <w:r w:rsidR="00F25D77">
        <w:t xml:space="preserve"> analyse a powerful dataset which</w:t>
      </w:r>
      <w:r>
        <w:t xml:space="preserve"> captures aspects of a person’s developmental trajectory from birth up to about 25 years of age.</w:t>
      </w:r>
    </w:p>
    <w:p w:rsidR="004B4645" w:rsidRDefault="004B4645" w:rsidP="004B4645">
      <w:pPr>
        <w:pStyle w:val="Heading2"/>
      </w:pPr>
      <w:bookmarkStart w:id="58" w:name="_Toc358811271"/>
      <w:r>
        <w:t>The concept of statistical matching</w:t>
      </w:r>
      <w:bookmarkEnd w:id="58"/>
    </w:p>
    <w:p w:rsidR="001876CA" w:rsidRDefault="0054590E" w:rsidP="001876CA">
      <w:pPr>
        <w:pStyle w:val="Text"/>
      </w:pPr>
      <w:r>
        <w:t>D</w:t>
      </w:r>
      <w:r w:rsidRPr="00213448">
        <w:t xml:space="preserve">ata from different sources that do </w:t>
      </w:r>
      <w:r w:rsidRPr="00EB2D37">
        <w:t xml:space="preserve">not </w:t>
      </w:r>
      <w:r w:rsidRPr="00213448">
        <w:t>contain the same individuals</w:t>
      </w:r>
      <w:r>
        <w:t xml:space="preserve"> can</w:t>
      </w:r>
      <w:r w:rsidR="0063207B">
        <w:t xml:space="preserve"> be combined via</w:t>
      </w:r>
      <w:r>
        <w:t xml:space="preserve"> </w:t>
      </w:r>
      <w:r w:rsidRPr="00EB2D37">
        <w:t>statistical matching</w:t>
      </w:r>
      <w:r>
        <w:t xml:space="preserve"> </w:t>
      </w:r>
      <w:r w:rsidR="00401328">
        <w:t>(</w:t>
      </w:r>
      <w:proofErr w:type="spellStart"/>
      <w:r w:rsidR="00401328">
        <w:t>Raessler</w:t>
      </w:r>
      <w:proofErr w:type="spellEnd"/>
      <w:r w:rsidR="00401328">
        <w:t xml:space="preserve"> 2004). </w:t>
      </w:r>
      <w:r w:rsidR="002F0FB9">
        <w:t>S</w:t>
      </w:r>
      <w:r w:rsidR="00F40039">
        <w:t>tatistical matching combines ‘</w:t>
      </w:r>
      <w:r w:rsidR="007773C2">
        <w:t xml:space="preserve">cases </w:t>
      </w:r>
      <w:proofErr w:type="gramStart"/>
      <w:r w:rsidR="0092784C">
        <w:t>that are</w:t>
      </w:r>
      <w:proofErr w:type="gramEnd"/>
      <w:r w:rsidR="0092784C">
        <w:t xml:space="preserve"> statistically similar —</w:t>
      </w:r>
      <w:r w:rsidR="007773C2">
        <w:t xml:space="preserve"> similar in terms of certain characteristics which are systematically related to the object under investigation and which are observed in a mo</w:t>
      </w:r>
      <w:r w:rsidR="0092784C">
        <w:t xml:space="preserve">st similar way in both </w:t>
      </w:r>
      <w:proofErr w:type="spellStart"/>
      <w:r w:rsidR="0092784C">
        <w:t>datasets’</w:t>
      </w:r>
      <w:proofErr w:type="spellEnd"/>
      <w:r w:rsidR="0092784C">
        <w:t xml:space="preserve"> (Rasner, Frick &amp; </w:t>
      </w:r>
      <w:proofErr w:type="spellStart"/>
      <w:r w:rsidR="0092784C">
        <w:t>Grabka</w:t>
      </w:r>
      <w:proofErr w:type="spellEnd"/>
      <w:r w:rsidR="0092784C">
        <w:t xml:space="preserve"> 2010, p.</w:t>
      </w:r>
      <w:r w:rsidR="007773C2">
        <w:t>9).</w:t>
      </w:r>
      <w:r w:rsidR="004B4645">
        <w:t xml:space="preserve"> From a conceptual perspective</w:t>
      </w:r>
      <w:r w:rsidR="001876CA">
        <w:t xml:space="preserve">, it is important to understand that combining </w:t>
      </w:r>
      <w:r w:rsidR="0004361E">
        <w:t xml:space="preserve">Longitudinal Study of Australian Children </w:t>
      </w:r>
      <w:r w:rsidR="001876CA">
        <w:t xml:space="preserve">data with LSAY </w:t>
      </w:r>
      <w:r w:rsidR="007F7045">
        <w:t xml:space="preserve">via statistical matching </w:t>
      </w:r>
      <w:r w:rsidR="004B4645">
        <w:t>would</w:t>
      </w:r>
      <w:r w:rsidR="001876CA">
        <w:t xml:space="preserve"> result in</w:t>
      </w:r>
      <w:r w:rsidR="001876CA" w:rsidRPr="001876CA">
        <w:t xml:space="preserve"> a </w:t>
      </w:r>
      <w:r w:rsidR="001876CA" w:rsidRPr="0092784C">
        <w:t>synthetic dataset</w:t>
      </w:r>
      <w:r w:rsidR="0092784C">
        <w:t>,</w:t>
      </w:r>
      <w:r w:rsidR="001876CA" w:rsidRPr="0092784C">
        <w:t xml:space="preserve"> in which each matched record represents a fictitious individual who proxies the combined trajectory of two real individuals who are statistically equivalent on a number of key characteristics</w:t>
      </w:r>
      <w:r w:rsidR="001876CA" w:rsidRPr="00213448">
        <w:t>.</w:t>
      </w:r>
    </w:p>
    <w:p w:rsidR="00AE1E9C" w:rsidRDefault="002F0FB9" w:rsidP="00263AEB">
      <w:pPr>
        <w:pStyle w:val="Text"/>
      </w:pPr>
      <w:r>
        <w:t>S</w:t>
      </w:r>
      <w:r w:rsidR="00F33784">
        <w:t xml:space="preserve">tatistical matching </w:t>
      </w:r>
      <w:r w:rsidR="006B2B46">
        <w:t xml:space="preserve">could </w:t>
      </w:r>
      <w:r w:rsidR="007F7045">
        <w:t>theoretically</w:t>
      </w:r>
      <w:r>
        <w:t xml:space="preserve"> </w:t>
      </w:r>
      <w:r w:rsidR="006B2B46">
        <w:t xml:space="preserve">be </w:t>
      </w:r>
      <w:r w:rsidR="0054590E">
        <w:t>used</w:t>
      </w:r>
      <w:r w:rsidR="00F33784">
        <w:t xml:space="preserve"> to combine </w:t>
      </w:r>
      <w:r w:rsidR="0054590E">
        <w:t>select</w:t>
      </w:r>
      <w:r w:rsidR="006D09F6">
        <w:t>ed</w:t>
      </w:r>
      <w:r w:rsidR="0054590E">
        <w:t xml:space="preserve"> </w:t>
      </w:r>
      <w:r w:rsidR="00EB2D37">
        <w:t>LSAC</w:t>
      </w:r>
      <w:r w:rsidR="0004361E">
        <w:t xml:space="preserve"> </w:t>
      </w:r>
      <w:r w:rsidR="00F33784">
        <w:t>data with LSAY</w:t>
      </w:r>
      <w:r w:rsidR="00384309">
        <w:t xml:space="preserve"> because both surveys </w:t>
      </w:r>
      <w:r w:rsidR="0054590E">
        <w:t xml:space="preserve">overlap on a number of key </w:t>
      </w:r>
      <w:r w:rsidR="009B436C">
        <w:t xml:space="preserve">matching </w:t>
      </w:r>
      <w:r w:rsidR="0054590E">
        <w:t>variables</w:t>
      </w:r>
      <w:r w:rsidR="007F7045">
        <w:t>. T</w:t>
      </w:r>
      <w:r w:rsidR="00FA6863" w:rsidRPr="00213448">
        <w:t xml:space="preserve">hese </w:t>
      </w:r>
      <w:r w:rsidR="009B436C">
        <w:t xml:space="preserve">matching </w:t>
      </w:r>
      <w:r w:rsidR="007F3FB7" w:rsidRPr="00213448">
        <w:t xml:space="preserve">variables capture </w:t>
      </w:r>
      <w:r w:rsidR="00B648CC">
        <w:t>mostly time-</w:t>
      </w:r>
      <w:r>
        <w:t>invariant</w:t>
      </w:r>
      <w:r w:rsidR="00FA6863" w:rsidRPr="00213448">
        <w:t xml:space="preserve"> </w:t>
      </w:r>
      <w:r w:rsidR="007F3FB7" w:rsidRPr="00213448">
        <w:t xml:space="preserve">characteristics such as gender, Indigenous status, socioeconomic status, </w:t>
      </w:r>
      <w:r w:rsidR="00233365" w:rsidRPr="00213448">
        <w:t xml:space="preserve">home language background, </w:t>
      </w:r>
      <w:r w:rsidR="0054590E">
        <w:t xml:space="preserve">location </w:t>
      </w:r>
      <w:r w:rsidR="00384309">
        <w:t>and others</w:t>
      </w:r>
      <w:r w:rsidR="00B93AD9" w:rsidRPr="00213448">
        <w:t xml:space="preserve">. </w:t>
      </w:r>
      <w:r w:rsidR="0054590E">
        <w:t>Besides these common variables, e</w:t>
      </w:r>
      <w:r w:rsidR="00D66E5F" w:rsidRPr="00213448">
        <w:t xml:space="preserve">ach dataset contains </w:t>
      </w:r>
      <w:r w:rsidR="007F3FB7" w:rsidRPr="00213448">
        <w:t xml:space="preserve">unique </w:t>
      </w:r>
      <w:r w:rsidR="00D66E5F" w:rsidRPr="00213448">
        <w:t>variables</w:t>
      </w:r>
      <w:r w:rsidR="007F3FB7" w:rsidRPr="00213448">
        <w:t xml:space="preserve"> that need to be combined to answer a giv</w:t>
      </w:r>
      <w:r w:rsidR="00384309">
        <w:t>en research question</w:t>
      </w:r>
      <w:r w:rsidR="00AE1E9C">
        <w:t>.</w:t>
      </w:r>
    </w:p>
    <w:p w:rsidR="002344BF" w:rsidRPr="00213448" w:rsidRDefault="00624440" w:rsidP="00263AEB">
      <w:pPr>
        <w:pStyle w:val="Text"/>
      </w:pPr>
      <w:r>
        <w:t>To illustrate this via a highly simplified example</w:t>
      </w:r>
      <w:r w:rsidR="006D09F6">
        <w:t>:</w:t>
      </w:r>
      <w:r>
        <w:t xml:space="preserve"> </w:t>
      </w:r>
      <w:r w:rsidR="0092784C">
        <w:t xml:space="preserve">the </w:t>
      </w:r>
      <w:r w:rsidR="0004361E">
        <w:t xml:space="preserve">Longitudinal Study of Australian Children </w:t>
      </w:r>
      <w:r w:rsidR="007F3FB7" w:rsidRPr="00213448">
        <w:t>contains detailed information on emotional, physical and social development</w:t>
      </w:r>
      <w:r w:rsidR="002F0FB9">
        <w:t xml:space="preserve"> during childhood</w:t>
      </w:r>
      <w:r w:rsidR="007F3FB7" w:rsidRPr="00213448">
        <w:t xml:space="preserve">. </w:t>
      </w:r>
      <w:r w:rsidR="00263AEB" w:rsidRPr="00213448">
        <w:t>LSAY, on the other hand, contains information on reading, mathematics and science literacy at age 15, as well as Y</w:t>
      </w:r>
      <w:r w:rsidR="00A80A8D" w:rsidRPr="00213448">
        <w:t>ear 12 completion status</w:t>
      </w:r>
      <w:r w:rsidR="0054590E">
        <w:t xml:space="preserve"> and post-school engagement in study or work</w:t>
      </w:r>
      <w:r w:rsidR="00A80A8D" w:rsidRPr="00213448">
        <w:t>. Table</w:t>
      </w:r>
      <w:r w:rsidR="00AD0E52" w:rsidRPr="00213448">
        <w:t xml:space="preserve"> </w:t>
      </w:r>
      <w:r w:rsidR="00611156">
        <w:t>7</w:t>
      </w:r>
      <w:r w:rsidR="00263AEB" w:rsidRPr="00213448">
        <w:t xml:space="preserve"> </w:t>
      </w:r>
      <w:r w:rsidR="000D07C3" w:rsidRPr="00213448">
        <w:t xml:space="preserve">illustrates this simple </w:t>
      </w:r>
      <w:r w:rsidR="00AD0E52" w:rsidRPr="00213448">
        <w:t>scenario.</w:t>
      </w:r>
    </w:p>
    <w:p w:rsidR="00AD0E52" w:rsidRPr="00213448" w:rsidRDefault="00AD0E52" w:rsidP="00AD0E52">
      <w:pPr>
        <w:pStyle w:val="tabletitle"/>
      </w:pPr>
      <w:bookmarkStart w:id="59" w:name="_Toc358811322"/>
      <w:r w:rsidRPr="00213448">
        <w:t xml:space="preserve">Table </w:t>
      </w:r>
      <w:r w:rsidR="00611156">
        <w:t>7</w:t>
      </w:r>
      <w:r w:rsidR="00263AEB" w:rsidRPr="00213448">
        <w:tab/>
        <w:t xml:space="preserve">Common and unique variables in </w:t>
      </w:r>
      <w:r w:rsidR="00041AAA">
        <w:t xml:space="preserve">the </w:t>
      </w:r>
      <w:r w:rsidR="006D09F6">
        <w:t xml:space="preserve">Longitudinal Study of Australian Children </w:t>
      </w:r>
      <w:r w:rsidR="00263AEB" w:rsidRPr="00213448">
        <w:t>and LSAY</w:t>
      </w:r>
      <w:bookmarkEnd w:id="59"/>
    </w:p>
    <w:tbl>
      <w:tblPr>
        <w:tblStyle w:val="TableGrid"/>
        <w:tblW w:w="8789" w:type="dxa"/>
        <w:tblInd w:w="108" w:type="dxa"/>
        <w:tblBorders>
          <w:insideH w:val="none" w:sz="0" w:space="0" w:color="auto"/>
          <w:insideV w:val="none" w:sz="0" w:space="0" w:color="auto"/>
        </w:tblBorders>
        <w:tblLayout w:type="fixed"/>
        <w:tblLook w:val="04A0"/>
      </w:tblPr>
      <w:tblGrid>
        <w:gridCol w:w="2930"/>
        <w:gridCol w:w="2929"/>
        <w:gridCol w:w="2930"/>
      </w:tblGrid>
      <w:tr w:rsidR="00AD0E52" w:rsidRPr="00213448" w:rsidTr="00AE3984">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E52" w:rsidRPr="00213448" w:rsidRDefault="006E3655" w:rsidP="006E3655">
            <w:pPr>
              <w:pStyle w:val="Tablehead1"/>
              <w:jc w:val="center"/>
              <w:rPr>
                <w:bCs/>
              </w:rPr>
            </w:pPr>
            <w:r w:rsidRPr="00213448">
              <w:rPr>
                <w:bCs/>
              </w:rPr>
              <w:t xml:space="preserve">Common </w:t>
            </w:r>
            <w:r w:rsidR="00E20210">
              <w:rPr>
                <w:bCs/>
              </w:rPr>
              <w:t xml:space="preserve">to </w:t>
            </w:r>
            <w:r w:rsidR="001004EC" w:rsidRPr="00213448">
              <w:rPr>
                <w:bCs/>
              </w:rPr>
              <w:t>LSAC &amp; LSAY</w:t>
            </w:r>
          </w:p>
        </w:tc>
        <w:tc>
          <w:tcPr>
            <w:tcW w:w="3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E52" w:rsidRPr="00213448" w:rsidRDefault="00263AEB" w:rsidP="006E3655">
            <w:pPr>
              <w:pStyle w:val="Tablehead1"/>
              <w:jc w:val="center"/>
              <w:rPr>
                <w:bCs/>
              </w:rPr>
            </w:pPr>
            <w:r w:rsidRPr="00213448">
              <w:rPr>
                <w:bCs/>
              </w:rPr>
              <w:t xml:space="preserve">Unique </w:t>
            </w:r>
            <w:r w:rsidR="00E20210">
              <w:rPr>
                <w:bCs/>
              </w:rPr>
              <w:t xml:space="preserve">to </w:t>
            </w:r>
            <w:r w:rsidRPr="00213448">
              <w:rPr>
                <w:bCs/>
              </w:rPr>
              <w:t>LSAC</w:t>
            </w:r>
          </w:p>
        </w:tc>
        <w:tc>
          <w:tcPr>
            <w:tcW w:w="3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0E52" w:rsidRPr="00213448" w:rsidRDefault="00263AEB" w:rsidP="006E3655">
            <w:pPr>
              <w:pStyle w:val="Tablehead1"/>
              <w:jc w:val="center"/>
              <w:rPr>
                <w:bCs/>
              </w:rPr>
            </w:pPr>
            <w:r w:rsidRPr="00213448">
              <w:rPr>
                <w:bCs/>
              </w:rPr>
              <w:t xml:space="preserve">Unique </w:t>
            </w:r>
            <w:r w:rsidR="00E20210">
              <w:rPr>
                <w:bCs/>
              </w:rPr>
              <w:t xml:space="preserve">to </w:t>
            </w:r>
            <w:r w:rsidRPr="00213448">
              <w:rPr>
                <w:bCs/>
              </w:rPr>
              <w:t>LSAY</w:t>
            </w:r>
          </w:p>
        </w:tc>
      </w:tr>
      <w:tr w:rsidR="001004EC" w:rsidRPr="00213448" w:rsidTr="00AE3984">
        <w:tc>
          <w:tcPr>
            <w:tcW w:w="3001" w:type="dxa"/>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tcPr>
          <w:p w:rsidR="001004EC" w:rsidRPr="00213448" w:rsidRDefault="001004EC" w:rsidP="00A81195">
            <w:pPr>
              <w:pStyle w:val="Tabletext"/>
              <w:jc w:val="center"/>
            </w:pPr>
            <w:r w:rsidRPr="00213448">
              <w:t>Sex</w:t>
            </w:r>
          </w:p>
        </w:tc>
        <w:tc>
          <w:tcPr>
            <w:tcW w:w="3001" w:type="dxa"/>
            <w:tcBorders>
              <w:top w:val="single" w:sz="4" w:space="0" w:color="000000" w:themeColor="text1"/>
              <w:left w:val="single" w:sz="4" w:space="0" w:color="000000" w:themeColor="text1"/>
              <w:right w:val="single" w:sz="4" w:space="0" w:color="000000" w:themeColor="text1"/>
            </w:tcBorders>
            <w:shd w:val="clear" w:color="auto" w:fill="BFBFBF" w:themeFill="background1" w:themeFillShade="BF"/>
          </w:tcPr>
          <w:p w:rsidR="001004EC" w:rsidRPr="00213448" w:rsidRDefault="001004EC" w:rsidP="00A81195">
            <w:pPr>
              <w:pStyle w:val="Tabletext"/>
              <w:jc w:val="center"/>
            </w:pPr>
            <w:r w:rsidRPr="00213448">
              <w:t>Emotional development</w:t>
            </w:r>
          </w:p>
        </w:tc>
        <w:tc>
          <w:tcPr>
            <w:tcW w:w="3002" w:type="dxa"/>
            <w:tcBorders>
              <w:top w:val="single" w:sz="4" w:space="0" w:color="000000" w:themeColor="text1"/>
              <w:left w:val="single" w:sz="4" w:space="0" w:color="000000" w:themeColor="text1"/>
              <w:right w:val="single" w:sz="4" w:space="0" w:color="000000" w:themeColor="text1"/>
            </w:tcBorders>
            <w:shd w:val="clear" w:color="auto" w:fill="auto"/>
          </w:tcPr>
          <w:p w:rsidR="001004EC" w:rsidRPr="00213448" w:rsidRDefault="001004EC" w:rsidP="00A81195">
            <w:pPr>
              <w:pStyle w:val="Tabletext"/>
              <w:jc w:val="center"/>
            </w:pPr>
          </w:p>
        </w:tc>
      </w:tr>
      <w:tr w:rsidR="001004EC" w:rsidRPr="00213448" w:rsidTr="00AE3984">
        <w:tc>
          <w:tcPr>
            <w:tcW w:w="3001" w:type="dxa"/>
            <w:tcBorders>
              <w:left w:val="single" w:sz="4" w:space="0" w:color="000000" w:themeColor="text1"/>
              <w:right w:val="single" w:sz="4" w:space="0" w:color="000000" w:themeColor="text1"/>
            </w:tcBorders>
            <w:shd w:val="clear" w:color="auto" w:fill="BFBFBF" w:themeFill="background1" w:themeFillShade="BF"/>
          </w:tcPr>
          <w:p w:rsidR="001004EC" w:rsidRPr="00213448" w:rsidRDefault="001004EC" w:rsidP="00A81195">
            <w:pPr>
              <w:pStyle w:val="Tabletext"/>
              <w:jc w:val="center"/>
            </w:pPr>
            <w:r w:rsidRPr="00213448">
              <w:t>Indigenous status</w:t>
            </w:r>
          </w:p>
        </w:tc>
        <w:tc>
          <w:tcPr>
            <w:tcW w:w="3001" w:type="dxa"/>
            <w:tcBorders>
              <w:left w:val="single" w:sz="4" w:space="0" w:color="000000" w:themeColor="text1"/>
              <w:right w:val="single" w:sz="4" w:space="0" w:color="000000" w:themeColor="text1"/>
            </w:tcBorders>
            <w:shd w:val="clear" w:color="auto" w:fill="BFBFBF" w:themeFill="background1" w:themeFillShade="BF"/>
          </w:tcPr>
          <w:p w:rsidR="001004EC" w:rsidRPr="00213448" w:rsidRDefault="001004EC" w:rsidP="00A81195">
            <w:pPr>
              <w:pStyle w:val="Tabletext"/>
              <w:jc w:val="center"/>
            </w:pPr>
            <w:r w:rsidRPr="00213448">
              <w:t>Physical development</w:t>
            </w:r>
          </w:p>
        </w:tc>
        <w:tc>
          <w:tcPr>
            <w:tcW w:w="3002" w:type="dxa"/>
            <w:tcBorders>
              <w:left w:val="single" w:sz="4" w:space="0" w:color="000000" w:themeColor="text1"/>
              <w:right w:val="single" w:sz="4" w:space="0" w:color="000000" w:themeColor="text1"/>
            </w:tcBorders>
            <w:shd w:val="clear" w:color="auto" w:fill="auto"/>
          </w:tcPr>
          <w:p w:rsidR="001004EC" w:rsidRPr="00213448" w:rsidRDefault="001004EC" w:rsidP="00A81195">
            <w:pPr>
              <w:pStyle w:val="Tabletext"/>
              <w:jc w:val="center"/>
            </w:pPr>
          </w:p>
        </w:tc>
      </w:tr>
      <w:tr w:rsidR="001004EC" w:rsidRPr="00213448" w:rsidTr="00AE3984">
        <w:tc>
          <w:tcPr>
            <w:tcW w:w="3001" w:type="dxa"/>
            <w:tcBorders>
              <w:left w:val="single" w:sz="4" w:space="0" w:color="000000" w:themeColor="text1"/>
              <w:right w:val="single" w:sz="4" w:space="0" w:color="000000" w:themeColor="text1"/>
            </w:tcBorders>
            <w:shd w:val="clear" w:color="auto" w:fill="BFBFBF" w:themeFill="background1" w:themeFillShade="BF"/>
          </w:tcPr>
          <w:p w:rsidR="001004EC" w:rsidRPr="00213448" w:rsidRDefault="001004EC" w:rsidP="00A81195">
            <w:pPr>
              <w:pStyle w:val="Tabletext"/>
              <w:jc w:val="center"/>
            </w:pPr>
            <w:r w:rsidRPr="00213448">
              <w:t>Socioeconomic status</w:t>
            </w:r>
          </w:p>
        </w:tc>
        <w:tc>
          <w:tcPr>
            <w:tcW w:w="3001" w:type="dxa"/>
            <w:tcBorders>
              <w:left w:val="single" w:sz="4" w:space="0" w:color="000000" w:themeColor="text1"/>
              <w:right w:val="single" w:sz="4" w:space="0" w:color="000000" w:themeColor="text1"/>
            </w:tcBorders>
            <w:shd w:val="clear" w:color="auto" w:fill="auto"/>
          </w:tcPr>
          <w:p w:rsidR="001004EC" w:rsidRPr="00213448" w:rsidRDefault="001004EC" w:rsidP="00A81195">
            <w:pPr>
              <w:pStyle w:val="Tabletext"/>
              <w:jc w:val="center"/>
            </w:pPr>
          </w:p>
        </w:tc>
        <w:tc>
          <w:tcPr>
            <w:tcW w:w="3002" w:type="dxa"/>
            <w:tcBorders>
              <w:left w:val="single" w:sz="4" w:space="0" w:color="000000" w:themeColor="text1"/>
              <w:right w:val="single" w:sz="4" w:space="0" w:color="000000" w:themeColor="text1"/>
            </w:tcBorders>
            <w:shd w:val="clear" w:color="auto" w:fill="BFBFBF" w:themeFill="background1" w:themeFillShade="BF"/>
          </w:tcPr>
          <w:p w:rsidR="001004EC" w:rsidRPr="00213448" w:rsidRDefault="001004EC" w:rsidP="00A81195">
            <w:pPr>
              <w:pStyle w:val="Tabletext"/>
              <w:jc w:val="center"/>
            </w:pPr>
            <w:r w:rsidRPr="00213448">
              <w:t>Maths/reading/science literacy</w:t>
            </w:r>
          </w:p>
        </w:tc>
      </w:tr>
      <w:tr w:rsidR="001004EC" w:rsidRPr="00213448" w:rsidTr="00AE3984">
        <w:tc>
          <w:tcPr>
            <w:tcW w:w="3001" w:type="dxa"/>
            <w:tcBorders>
              <w:left w:val="single" w:sz="4" w:space="0" w:color="000000" w:themeColor="text1"/>
              <w:right w:val="single" w:sz="4" w:space="0" w:color="000000" w:themeColor="text1"/>
            </w:tcBorders>
            <w:shd w:val="clear" w:color="auto" w:fill="BFBFBF" w:themeFill="background1" w:themeFillShade="BF"/>
          </w:tcPr>
          <w:p w:rsidR="001004EC" w:rsidRPr="00213448" w:rsidRDefault="001004EC" w:rsidP="00A81195">
            <w:pPr>
              <w:pStyle w:val="Tabletext"/>
              <w:jc w:val="center"/>
            </w:pPr>
            <w:r w:rsidRPr="00213448">
              <w:t>Home language</w:t>
            </w:r>
            <w:r w:rsidR="00233365" w:rsidRPr="00213448">
              <w:t xml:space="preserve"> background</w:t>
            </w:r>
          </w:p>
        </w:tc>
        <w:tc>
          <w:tcPr>
            <w:tcW w:w="3001" w:type="dxa"/>
            <w:tcBorders>
              <w:left w:val="single" w:sz="4" w:space="0" w:color="000000" w:themeColor="text1"/>
              <w:right w:val="single" w:sz="4" w:space="0" w:color="000000" w:themeColor="text1"/>
            </w:tcBorders>
            <w:shd w:val="clear" w:color="auto" w:fill="auto"/>
          </w:tcPr>
          <w:p w:rsidR="001004EC" w:rsidRPr="00213448" w:rsidRDefault="001004EC" w:rsidP="00A81195">
            <w:pPr>
              <w:pStyle w:val="Tabletext"/>
              <w:jc w:val="center"/>
            </w:pPr>
          </w:p>
        </w:tc>
        <w:tc>
          <w:tcPr>
            <w:tcW w:w="3002" w:type="dxa"/>
            <w:tcBorders>
              <w:left w:val="single" w:sz="4" w:space="0" w:color="000000" w:themeColor="text1"/>
              <w:right w:val="single" w:sz="4" w:space="0" w:color="000000" w:themeColor="text1"/>
            </w:tcBorders>
            <w:shd w:val="clear" w:color="auto" w:fill="BFBFBF" w:themeFill="background1" w:themeFillShade="BF"/>
          </w:tcPr>
          <w:p w:rsidR="001004EC" w:rsidRPr="00213448" w:rsidRDefault="001004EC" w:rsidP="00A81195">
            <w:pPr>
              <w:pStyle w:val="Tabletext"/>
              <w:jc w:val="center"/>
            </w:pPr>
            <w:r w:rsidRPr="00213448">
              <w:t>Year 12 completion status</w:t>
            </w:r>
          </w:p>
        </w:tc>
      </w:tr>
      <w:tr w:rsidR="0054590E" w:rsidRPr="00213448" w:rsidTr="00AE3984">
        <w:tc>
          <w:tcPr>
            <w:tcW w:w="3001" w:type="dxa"/>
            <w:tcBorders>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4590E" w:rsidRPr="00213448" w:rsidRDefault="0054590E" w:rsidP="00A81195">
            <w:pPr>
              <w:pStyle w:val="Tabletext"/>
              <w:jc w:val="center"/>
            </w:pPr>
            <w:r>
              <w:t>Location</w:t>
            </w:r>
          </w:p>
        </w:tc>
        <w:tc>
          <w:tcPr>
            <w:tcW w:w="3001" w:type="dxa"/>
            <w:tcBorders>
              <w:left w:val="single" w:sz="4" w:space="0" w:color="000000" w:themeColor="text1"/>
              <w:bottom w:val="single" w:sz="4" w:space="0" w:color="000000" w:themeColor="text1"/>
              <w:right w:val="single" w:sz="4" w:space="0" w:color="000000" w:themeColor="text1"/>
            </w:tcBorders>
            <w:shd w:val="clear" w:color="auto" w:fill="auto"/>
          </w:tcPr>
          <w:p w:rsidR="0054590E" w:rsidRPr="00213448" w:rsidRDefault="0054590E" w:rsidP="00A81195">
            <w:pPr>
              <w:pStyle w:val="Tabletext"/>
              <w:jc w:val="center"/>
            </w:pPr>
          </w:p>
        </w:tc>
        <w:tc>
          <w:tcPr>
            <w:tcW w:w="3002" w:type="dxa"/>
            <w:tcBorders>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54590E" w:rsidRPr="00213448" w:rsidRDefault="0054590E" w:rsidP="00A81195">
            <w:pPr>
              <w:pStyle w:val="Tabletext"/>
              <w:jc w:val="center"/>
            </w:pPr>
            <w:r>
              <w:t>Post-school study/work status</w:t>
            </w:r>
          </w:p>
        </w:tc>
      </w:tr>
    </w:tbl>
    <w:p w:rsidR="00D643C2" w:rsidRDefault="00A81195" w:rsidP="00AE1E9C">
      <w:pPr>
        <w:pStyle w:val="Source"/>
      </w:pPr>
      <w:r w:rsidRPr="00213448">
        <w:t>Note:</w:t>
      </w:r>
      <w:r w:rsidRPr="00213448">
        <w:tab/>
      </w:r>
      <w:r w:rsidR="00E20210">
        <w:t>A</w:t>
      </w:r>
      <w:r w:rsidR="00AE1E9C">
        <w:t>dapted from</w:t>
      </w:r>
      <w:r w:rsidRPr="00213448">
        <w:t xml:space="preserve"> </w:t>
      </w:r>
      <w:proofErr w:type="spellStart"/>
      <w:r w:rsidR="000D07C3" w:rsidRPr="00213448">
        <w:t>Kiesl</w:t>
      </w:r>
      <w:proofErr w:type="spellEnd"/>
      <w:r w:rsidR="000D07C3" w:rsidRPr="00213448">
        <w:t xml:space="preserve"> </w:t>
      </w:r>
      <w:r w:rsidR="0092784C">
        <w:t>&amp;</w:t>
      </w:r>
      <w:r w:rsidR="000D07C3" w:rsidRPr="00213448">
        <w:t xml:space="preserve"> </w:t>
      </w:r>
      <w:proofErr w:type="spellStart"/>
      <w:r w:rsidR="000D07C3" w:rsidRPr="00213448">
        <w:t>Raessler</w:t>
      </w:r>
      <w:proofErr w:type="spellEnd"/>
      <w:r w:rsidR="000D07C3" w:rsidRPr="00213448">
        <w:t xml:space="preserve"> (2006).</w:t>
      </w:r>
    </w:p>
    <w:p w:rsidR="0063207B" w:rsidRDefault="0063207B">
      <w:pPr>
        <w:spacing w:before="0" w:line="240" w:lineRule="auto"/>
      </w:pPr>
      <w:r>
        <w:br w:type="page"/>
      </w:r>
    </w:p>
    <w:p w:rsidR="00606DAD" w:rsidRDefault="00D74FE0" w:rsidP="00384309">
      <w:pPr>
        <w:pStyle w:val="Text"/>
      </w:pPr>
      <w:r w:rsidRPr="00213448">
        <w:lastRenderedPageBreak/>
        <w:t>Based on distributional assumptions about the data, s</w:t>
      </w:r>
      <w:r w:rsidR="00233365" w:rsidRPr="00213448">
        <w:t xml:space="preserve">tatistical matching </w:t>
      </w:r>
      <w:r w:rsidR="00E20210">
        <w:t>assign</w:t>
      </w:r>
      <w:r w:rsidR="00B648CC">
        <w:t>s</w:t>
      </w:r>
      <w:r w:rsidRPr="00213448">
        <w:t xml:space="preserve"> records in </w:t>
      </w:r>
      <w:r w:rsidR="0092784C">
        <w:t xml:space="preserve">the </w:t>
      </w:r>
      <w:r w:rsidR="0004361E">
        <w:t xml:space="preserve">Longitudinal Study of Australian Children </w:t>
      </w:r>
      <w:r w:rsidRPr="00213448">
        <w:t xml:space="preserve">(the </w:t>
      </w:r>
      <w:r w:rsidRPr="0092784C">
        <w:t>donor</w:t>
      </w:r>
      <w:r w:rsidRPr="00213448">
        <w:t xml:space="preserve"> file) to records in LSAY (the </w:t>
      </w:r>
      <w:r w:rsidRPr="0092784C">
        <w:t>recipient</w:t>
      </w:r>
      <w:r w:rsidR="003706DE">
        <w:t xml:space="preserve"> file) for individuals who are </w:t>
      </w:r>
      <w:r w:rsidR="003706DE" w:rsidRPr="00341461">
        <w:t xml:space="preserve">statistically </w:t>
      </w:r>
      <w:r w:rsidR="00AE1E9C" w:rsidRPr="00341461">
        <w:t>similar</w:t>
      </w:r>
      <w:r w:rsidR="003706DE">
        <w:t xml:space="preserve"> on key background characteristics</w:t>
      </w:r>
      <w:r w:rsidRPr="00213448">
        <w:t xml:space="preserve">. </w:t>
      </w:r>
      <w:r w:rsidR="006B2B46">
        <w:t>T</w:t>
      </w:r>
      <w:r w:rsidR="00EA082E" w:rsidRPr="00213448">
        <w:t xml:space="preserve">he </w:t>
      </w:r>
      <w:r w:rsidR="00EA082E">
        <w:t>resulting synthetic dataset</w:t>
      </w:r>
      <w:r w:rsidR="006B2B46">
        <w:t xml:space="preserve"> would enable</w:t>
      </w:r>
      <w:r w:rsidR="0054590E">
        <w:t xml:space="preserve"> </w:t>
      </w:r>
      <w:r w:rsidR="00EA082E">
        <w:t xml:space="preserve">researchers to predict literacy scores, </w:t>
      </w:r>
      <w:r w:rsidR="00E93302" w:rsidRPr="00213448">
        <w:t xml:space="preserve">Year 12 completion </w:t>
      </w:r>
      <w:r w:rsidR="00EA082E">
        <w:t xml:space="preserve">and post-school study/work </w:t>
      </w:r>
      <w:r w:rsidR="006B2B46">
        <w:t>outcomes</w:t>
      </w:r>
      <w:r w:rsidR="00341461">
        <w:t>,</w:t>
      </w:r>
      <w:r w:rsidR="00E93302" w:rsidRPr="00213448">
        <w:t xml:space="preserve"> based on emotional and physical development </w:t>
      </w:r>
      <w:r w:rsidR="006B2B46">
        <w:t>during childhood</w:t>
      </w:r>
      <w:r w:rsidR="003706DE">
        <w:t>, while controlling for other relevant confounders</w:t>
      </w:r>
      <w:r w:rsidR="00E93302" w:rsidRPr="00213448">
        <w:t xml:space="preserve">. </w:t>
      </w:r>
      <w:r w:rsidR="006B2B46">
        <w:t>Al</w:t>
      </w:r>
      <w:r w:rsidR="00EA082E">
        <w:t>though t</w:t>
      </w:r>
      <w:r w:rsidR="00E20210">
        <w:t>his prediction would be</w:t>
      </w:r>
      <w:r w:rsidR="00B648CC">
        <w:t xml:space="preserve"> for</w:t>
      </w:r>
      <w:r w:rsidR="00E93302" w:rsidRPr="00213448">
        <w:t xml:space="preserve"> </w:t>
      </w:r>
      <w:r w:rsidR="00300F7A" w:rsidRPr="00341461">
        <w:t>fictitious</w:t>
      </w:r>
      <w:r w:rsidR="00300F7A" w:rsidRPr="00213448">
        <w:t xml:space="preserve"> individual</w:t>
      </w:r>
      <w:r w:rsidR="00B648CC">
        <w:t>s</w:t>
      </w:r>
      <w:r w:rsidR="00EA082E">
        <w:t xml:space="preserve">, their </w:t>
      </w:r>
      <w:r w:rsidR="003706DE">
        <w:t>t</w:t>
      </w:r>
      <w:r w:rsidR="00300F7A" w:rsidRPr="00213448">
        <w:t xml:space="preserve">rajectory and outcomes </w:t>
      </w:r>
      <w:r w:rsidR="00E20210">
        <w:t>would be</w:t>
      </w:r>
      <w:r w:rsidR="00300F7A" w:rsidRPr="00213448">
        <w:t xml:space="preserve"> re</w:t>
      </w:r>
      <w:r w:rsidR="003706DE">
        <w:t xml:space="preserve">presentative of </w:t>
      </w:r>
      <w:r w:rsidR="00B648CC">
        <w:t>people</w:t>
      </w:r>
      <w:r w:rsidR="003706DE">
        <w:t xml:space="preserve"> with</w:t>
      </w:r>
      <w:r w:rsidR="00300F7A" w:rsidRPr="00213448">
        <w:t xml:space="preserve"> </w:t>
      </w:r>
      <w:r w:rsidR="00967EAA" w:rsidRPr="00213448">
        <w:t xml:space="preserve">certain </w:t>
      </w:r>
      <w:r w:rsidR="00300F7A" w:rsidRPr="00213448">
        <w:t>background characteristics of interest</w:t>
      </w:r>
      <w:r w:rsidR="00EA082E">
        <w:t>.</w:t>
      </w:r>
      <w:r w:rsidR="007F7045">
        <w:t xml:space="preserve"> A detailed description of how statistical matching is implemented in practice </w:t>
      </w:r>
      <w:r w:rsidR="00C56723">
        <w:t xml:space="preserve">is provided in </w:t>
      </w:r>
      <w:r w:rsidR="004F362B">
        <w:t xml:space="preserve">the </w:t>
      </w:r>
      <w:r w:rsidR="00341461">
        <w:t>a</w:t>
      </w:r>
      <w:r w:rsidR="00C56723">
        <w:t>ppendix</w:t>
      </w:r>
      <w:r w:rsidR="0063207B">
        <w:t>.</w:t>
      </w:r>
    </w:p>
    <w:p w:rsidR="007232DC" w:rsidRDefault="007232DC" w:rsidP="007232DC">
      <w:pPr>
        <w:pStyle w:val="Heading2"/>
      </w:pPr>
      <w:bookmarkStart w:id="60" w:name="_Toc358811272"/>
      <w:r>
        <w:t>Limitations of statistical matching</w:t>
      </w:r>
      <w:bookmarkEnd w:id="60"/>
    </w:p>
    <w:p w:rsidR="0063207B" w:rsidRPr="00213448" w:rsidRDefault="0063207B" w:rsidP="00A71753">
      <w:pPr>
        <w:pStyle w:val="Text"/>
      </w:pPr>
      <w:r>
        <w:t>S</w:t>
      </w:r>
      <w:r w:rsidRPr="00213448">
        <w:t>everal nation</w:t>
      </w:r>
      <w:r>
        <w:t xml:space="preserve">al statistics agencies have explored the viability of statistical matching </w:t>
      </w:r>
      <w:r w:rsidRPr="00213448">
        <w:t>as</w:t>
      </w:r>
      <w:r>
        <w:t xml:space="preserve"> a way to combine different datasets</w:t>
      </w:r>
      <w:r w:rsidR="00EB2D37">
        <w:t xml:space="preserve"> in instances</w:t>
      </w:r>
      <w:r>
        <w:t xml:space="preserve"> where some key variables of interest </w:t>
      </w:r>
      <w:r w:rsidRPr="00213448">
        <w:t>are not joint</w:t>
      </w:r>
      <w:r w:rsidR="00341461">
        <w:t xml:space="preserve">ly observed (see </w:t>
      </w:r>
      <w:proofErr w:type="spellStart"/>
      <w:r w:rsidR="00341461">
        <w:t>D’Orazio</w:t>
      </w:r>
      <w:proofErr w:type="spellEnd"/>
      <w:r w:rsidR="00341461">
        <w:t xml:space="preserve">, Di </w:t>
      </w:r>
      <w:proofErr w:type="spellStart"/>
      <w:r w:rsidR="00341461">
        <w:t>Zio</w:t>
      </w:r>
      <w:proofErr w:type="spellEnd"/>
      <w:r w:rsidR="00341461">
        <w:t xml:space="preserve"> &amp; </w:t>
      </w:r>
      <w:proofErr w:type="spellStart"/>
      <w:r w:rsidR="00341461">
        <w:t>Scanu</w:t>
      </w:r>
      <w:proofErr w:type="spellEnd"/>
      <w:r w:rsidRPr="00213448">
        <w:t xml:space="preserve"> 2003 for Italy; </w:t>
      </w:r>
      <w:proofErr w:type="spellStart"/>
      <w:r w:rsidRPr="00213448">
        <w:t>Kiesl</w:t>
      </w:r>
      <w:proofErr w:type="spellEnd"/>
      <w:r w:rsidR="00341461">
        <w:t xml:space="preserve"> &amp; </w:t>
      </w:r>
      <w:proofErr w:type="spellStart"/>
      <w:r w:rsidR="00341461">
        <w:t>Raessler</w:t>
      </w:r>
      <w:proofErr w:type="spellEnd"/>
      <w:r w:rsidR="00341461">
        <w:t xml:space="preserve"> 2006 for Germany;</w:t>
      </w:r>
      <w:r w:rsidRPr="00213448">
        <w:t xml:space="preserve"> Liu &amp; </w:t>
      </w:r>
      <w:proofErr w:type="spellStart"/>
      <w:r w:rsidRPr="00213448">
        <w:t>Kovacevic</w:t>
      </w:r>
      <w:proofErr w:type="spellEnd"/>
      <w:r w:rsidRPr="00213448">
        <w:t xml:space="preserve"> 1997 for Canada)</w:t>
      </w:r>
      <w:r>
        <w:t xml:space="preserve">. </w:t>
      </w:r>
      <w:r w:rsidR="00B648CC">
        <w:t>Despite this theoretical work</w:t>
      </w:r>
      <w:r>
        <w:t xml:space="preserve">, the number of applied research studies that use statistical matching to answer substantial research questions is </w:t>
      </w:r>
      <w:r w:rsidR="00327EF5">
        <w:t xml:space="preserve">very </w:t>
      </w:r>
      <w:r>
        <w:t xml:space="preserve">limited. One </w:t>
      </w:r>
      <w:r w:rsidR="00A71753">
        <w:t xml:space="preserve">recent </w:t>
      </w:r>
      <w:r w:rsidR="00341461">
        <w:t xml:space="preserve">example is that of </w:t>
      </w:r>
      <w:proofErr w:type="spellStart"/>
      <w:r w:rsidR="00341461">
        <w:t>Rasner</w:t>
      </w:r>
      <w:proofErr w:type="spellEnd"/>
      <w:r w:rsidR="00341461">
        <w:t xml:space="preserve">, Frick and </w:t>
      </w:r>
      <w:proofErr w:type="spellStart"/>
      <w:r w:rsidR="00341461">
        <w:t>Grabka</w:t>
      </w:r>
      <w:proofErr w:type="spellEnd"/>
      <w:r w:rsidR="00A71753">
        <w:t xml:space="preserve"> (2010)</w:t>
      </w:r>
      <w:r w:rsidR="00341461">
        <w:t>,</w:t>
      </w:r>
      <w:r w:rsidR="00A71753">
        <w:t xml:space="preserve"> who investigated wealth inequalities in the German pension system. Even though relevant administrative information on the same individuals would have been available, data linkage was unfeasible due to privacy legislation. The researchers overcame this issue by</w:t>
      </w:r>
      <w:r w:rsidR="00341461">
        <w:t xml:space="preserve"> using statistical matching as ‘</w:t>
      </w:r>
      <w:r w:rsidR="00A71753">
        <w:t>the second best solution but the one and only way to overcome the drawbacks of both data sourc</w:t>
      </w:r>
      <w:r w:rsidR="00341461">
        <w:t>es and make use of their merits’ (p.</w:t>
      </w:r>
      <w:r w:rsidR="00A71753">
        <w:t xml:space="preserve">4). Another </w:t>
      </w:r>
      <w:r w:rsidR="00EB2D37">
        <w:t>recent statistical-</w:t>
      </w:r>
      <w:r>
        <w:t>matching study combined two nationally representative household surveys to analyse the distribution of income and wealth in the United</w:t>
      </w:r>
      <w:r w:rsidR="00A71753">
        <w:t xml:space="preserve"> States (</w:t>
      </w:r>
      <w:proofErr w:type="spellStart"/>
      <w:r w:rsidR="00A71753">
        <w:t>Kum</w:t>
      </w:r>
      <w:proofErr w:type="spellEnd"/>
      <w:r w:rsidR="00A71753">
        <w:t xml:space="preserve"> &amp; Masterson 2010).</w:t>
      </w:r>
    </w:p>
    <w:p w:rsidR="00327EF5" w:rsidRDefault="00B648CC" w:rsidP="007232DC">
      <w:pPr>
        <w:pStyle w:val="Text"/>
      </w:pPr>
      <w:proofErr w:type="gramStart"/>
      <w:r>
        <w:t>The</w:t>
      </w:r>
      <w:r w:rsidR="00A71753">
        <w:t xml:space="preserve"> </w:t>
      </w:r>
      <w:r w:rsidR="007232DC">
        <w:t xml:space="preserve">dearth of </w:t>
      </w:r>
      <w:r w:rsidR="00A63BF1">
        <w:t xml:space="preserve">applied research studies </w:t>
      </w:r>
      <w:r w:rsidR="00EB2D37">
        <w:t>in which</w:t>
      </w:r>
      <w:r w:rsidR="007232DC">
        <w:t xml:space="preserve"> statistical matching</w:t>
      </w:r>
      <w:r w:rsidR="00F11E0F">
        <w:t xml:space="preserve"> </w:t>
      </w:r>
      <w:r w:rsidR="00EB2D37">
        <w:t xml:space="preserve">is used </w:t>
      </w:r>
      <w:r>
        <w:t xml:space="preserve">is due to the fact that </w:t>
      </w:r>
      <w:r w:rsidR="007232DC">
        <w:t>the method is based on strong assumptions about the data.</w:t>
      </w:r>
      <w:proofErr w:type="gramEnd"/>
      <w:r w:rsidR="007232DC">
        <w:t xml:space="preserve"> These assumptions are </w:t>
      </w:r>
      <w:r w:rsidR="00327EF5">
        <w:t xml:space="preserve">often </w:t>
      </w:r>
      <w:r w:rsidR="007232DC">
        <w:t>n</w:t>
      </w:r>
      <w:r w:rsidR="00531714">
        <w:t>ot feasible</w:t>
      </w:r>
      <w:r w:rsidR="007232DC">
        <w:t xml:space="preserve"> in practice.</w:t>
      </w:r>
      <w:r w:rsidR="00A71753">
        <w:t xml:space="preserve"> </w:t>
      </w:r>
      <w:r w:rsidR="00A63BF1">
        <w:t>The</w:t>
      </w:r>
      <w:r w:rsidR="00BF3525">
        <w:t xml:space="preserve"> key assumption is that the </w:t>
      </w:r>
      <w:r w:rsidR="00BF3525" w:rsidRPr="006065E1">
        <w:t xml:space="preserve">joint distribution </w:t>
      </w:r>
      <w:r w:rsidR="00BF3525">
        <w:t xml:space="preserve">of the two data files </w:t>
      </w:r>
      <w:r w:rsidR="00BF3525" w:rsidRPr="006065E1">
        <w:t xml:space="preserve">is preserved after </w:t>
      </w:r>
      <w:r w:rsidR="00BF3525">
        <w:t>statistical matching (</w:t>
      </w:r>
      <w:proofErr w:type="spellStart"/>
      <w:r w:rsidR="00BF3525">
        <w:t>Raessler</w:t>
      </w:r>
      <w:proofErr w:type="spellEnd"/>
      <w:r w:rsidR="00BF3525">
        <w:t xml:space="preserve"> 2004). In other words, the resulting synthetic dataset has to adequately capture the relationship</w:t>
      </w:r>
      <w:r w:rsidR="00531714">
        <w:t>s</w:t>
      </w:r>
      <w:r w:rsidR="00BF3525">
        <w:t xml:space="preserve"> between the variables of interest that are </w:t>
      </w:r>
      <w:r w:rsidR="00BF3525" w:rsidRPr="00341461">
        <w:t xml:space="preserve">not </w:t>
      </w:r>
      <w:r w:rsidR="00531714" w:rsidRPr="00341461">
        <w:t>jointly observed</w:t>
      </w:r>
      <w:r w:rsidR="00531714">
        <w:t xml:space="preserve"> in the origina</w:t>
      </w:r>
      <w:r w:rsidR="00BF3525">
        <w:t xml:space="preserve">l datasets. </w:t>
      </w:r>
      <w:r w:rsidR="00A63BF1">
        <w:t xml:space="preserve">Whether </w:t>
      </w:r>
      <w:r w:rsidR="00464B79">
        <w:t xml:space="preserve">the joint distribution is preserved </w:t>
      </w:r>
      <w:r w:rsidR="00F06094">
        <w:t xml:space="preserve">after matching </w:t>
      </w:r>
      <w:r w:rsidR="00A63BF1">
        <w:t>canno</w:t>
      </w:r>
      <w:r w:rsidR="00464B79">
        <w:t xml:space="preserve">t </w:t>
      </w:r>
      <w:r w:rsidR="00EB2D37">
        <w:t>normally</w:t>
      </w:r>
      <w:r w:rsidR="00464B79">
        <w:t xml:space="preserve"> be verified due</w:t>
      </w:r>
      <w:r w:rsidR="00A63BF1">
        <w:t xml:space="preserve"> </w:t>
      </w:r>
      <w:r w:rsidR="00464B79">
        <w:t xml:space="preserve">to </w:t>
      </w:r>
      <w:r w:rsidR="00A63BF1">
        <w:t xml:space="preserve">the fact that </w:t>
      </w:r>
      <w:r w:rsidR="00464B79">
        <w:t>the variables of interest are not jointly observed in the original datasets (the motivation for undertaking statistical matching</w:t>
      </w:r>
      <w:r w:rsidR="00F06094">
        <w:t xml:space="preserve"> in the first place</w:t>
      </w:r>
      <w:r w:rsidR="00464B79">
        <w:t>).</w:t>
      </w:r>
    </w:p>
    <w:p w:rsidR="00531714" w:rsidRDefault="00341461" w:rsidP="007232DC">
      <w:pPr>
        <w:pStyle w:val="Text"/>
      </w:pPr>
      <w:r>
        <w:t>D</w:t>
      </w:r>
      <w:r w:rsidR="006E7CE2">
        <w:t xml:space="preserve">istributional </w:t>
      </w:r>
      <w:r w:rsidR="00327EF5">
        <w:t xml:space="preserve">requirements </w:t>
      </w:r>
      <w:r>
        <w:t xml:space="preserve">are more likely </w:t>
      </w:r>
      <w:r w:rsidR="00327EF5">
        <w:t xml:space="preserve">to be met </w:t>
      </w:r>
      <w:r w:rsidR="006E7CE2">
        <w:t xml:space="preserve">if the assumption of </w:t>
      </w:r>
      <w:r w:rsidR="007232DC" w:rsidRPr="00341461">
        <w:t>conditional independence</w:t>
      </w:r>
      <w:r w:rsidR="00327EF5">
        <w:t xml:space="preserve"> holds</w:t>
      </w:r>
      <w:r w:rsidR="006E7CE2">
        <w:t xml:space="preserve">. Conditional independence </w:t>
      </w:r>
      <w:r w:rsidR="00531714">
        <w:t>requires</w:t>
      </w:r>
      <w:r w:rsidR="007232DC">
        <w:t xml:space="preserve"> that the two</w:t>
      </w:r>
      <w:r w:rsidR="007232DC" w:rsidRPr="00213448">
        <w:t xml:space="preserve"> files </w:t>
      </w:r>
      <w:r w:rsidR="007232DC">
        <w:t xml:space="preserve">to be matched </w:t>
      </w:r>
      <w:r w:rsidR="007232DC" w:rsidRPr="00213448">
        <w:t>are independent random samples from the</w:t>
      </w:r>
      <w:r w:rsidR="00BF3525">
        <w:t xml:space="preserve"> same underlying population.</w:t>
      </w:r>
      <w:r w:rsidR="006E7CE2">
        <w:t xml:space="preserve"> Ultimately, however, the validity of a matched synthetic dataset can only be established by checking at least parts of it against a ‘true’ third source of data. Such a ‘true’ </w:t>
      </w:r>
      <w:r w:rsidR="001D0FAE">
        <w:t xml:space="preserve">third </w:t>
      </w:r>
      <w:r w:rsidR="006E7CE2">
        <w:t>data source is rarely available in practice.</w:t>
      </w:r>
    </w:p>
    <w:p w:rsidR="000E740B" w:rsidRDefault="000E740B" w:rsidP="000E740B">
      <w:pPr>
        <w:pStyle w:val="Heading2"/>
      </w:pPr>
      <w:bookmarkStart w:id="61" w:name="_Toc358811273"/>
      <w:r>
        <w:t xml:space="preserve">Combining LSAY and </w:t>
      </w:r>
      <w:r w:rsidR="00341461">
        <w:t>the Longitudinal S</w:t>
      </w:r>
      <w:r w:rsidR="00EB2D37">
        <w:t>tudy</w:t>
      </w:r>
      <w:r w:rsidR="00341461">
        <w:t xml:space="preserve"> of Australian Children</w:t>
      </w:r>
      <w:bookmarkEnd w:id="61"/>
    </w:p>
    <w:p w:rsidR="00655E6A" w:rsidRDefault="006E56C2" w:rsidP="005D5658">
      <w:pPr>
        <w:pStyle w:val="Text"/>
      </w:pPr>
      <w:r>
        <w:t xml:space="preserve">The above </w:t>
      </w:r>
      <w:r w:rsidR="00FF79E2">
        <w:t xml:space="preserve">requirements and </w:t>
      </w:r>
      <w:r>
        <w:t xml:space="preserve">assumptions </w:t>
      </w:r>
      <w:r w:rsidR="00FF79E2">
        <w:t>have direct implications for</w:t>
      </w:r>
      <w:r>
        <w:t xml:space="preserve"> the feasibility of matching data </w:t>
      </w:r>
      <w:r w:rsidR="006D09F6">
        <w:t xml:space="preserve">from the Longitudinal Study of Australian Children </w:t>
      </w:r>
      <w:r>
        <w:t xml:space="preserve">to LSAY. </w:t>
      </w:r>
      <w:r w:rsidR="0013038C">
        <w:t xml:space="preserve">Given that the two surveys sample individuals from </w:t>
      </w:r>
      <w:r w:rsidR="0013038C" w:rsidRPr="007D3386">
        <w:t>different</w:t>
      </w:r>
      <w:r w:rsidR="0013038C">
        <w:t xml:space="preserve"> populations, the conditional independence assumption is violated, which </w:t>
      </w:r>
      <w:r w:rsidR="00F06094">
        <w:t xml:space="preserve">in turn </w:t>
      </w:r>
      <w:r w:rsidR="0013038C">
        <w:t xml:space="preserve">reduces confidence in the joint distribution being preserved. </w:t>
      </w:r>
      <w:r w:rsidR="007D3386">
        <w:t>Furthermore</w:t>
      </w:r>
      <w:r w:rsidR="00DD1B56">
        <w:t xml:space="preserve">, no third source of data is available against which to check the </w:t>
      </w:r>
      <w:r w:rsidR="00DD1B56" w:rsidRPr="00DD1B56">
        <w:t xml:space="preserve">quality of a matched synthetic dataset from </w:t>
      </w:r>
      <w:r w:rsidR="007D3386">
        <w:t xml:space="preserve">the </w:t>
      </w:r>
      <w:r w:rsidR="0004361E">
        <w:t xml:space="preserve">Longitudinal Study of Australian Children </w:t>
      </w:r>
      <w:r w:rsidR="00DD1B56" w:rsidRPr="00DD1B56">
        <w:t xml:space="preserve">and LSAY. </w:t>
      </w:r>
      <w:r w:rsidR="005D5658" w:rsidRPr="00DD1B56">
        <w:t>An</w:t>
      </w:r>
      <w:r w:rsidR="00DD1B56" w:rsidRPr="00DD1B56">
        <w:t xml:space="preserve"> additional </w:t>
      </w:r>
      <w:r w:rsidR="00786144">
        <w:t>issue</w:t>
      </w:r>
      <w:r w:rsidR="00DD1B56" w:rsidRPr="00DD1B56">
        <w:t xml:space="preserve"> </w:t>
      </w:r>
      <w:r w:rsidR="005D5658" w:rsidRPr="00DD1B56">
        <w:t xml:space="preserve">is </w:t>
      </w:r>
      <w:r w:rsidR="00786144">
        <w:t xml:space="preserve">that </w:t>
      </w:r>
      <w:r w:rsidR="005D5658" w:rsidRPr="00DD1B56">
        <w:t xml:space="preserve">the </w:t>
      </w:r>
      <w:r w:rsidR="00786144">
        <w:t xml:space="preserve">surveys use </w:t>
      </w:r>
      <w:r w:rsidR="00786144">
        <w:lastRenderedPageBreak/>
        <w:t>different weights to account for complex sampling and attrition. It is not clear how to statistically handle weights that differ substantially between two d</w:t>
      </w:r>
      <w:r w:rsidR="003167DF">
        <w:t>atasets (</w:t>
      </w:r>
      <w:proofErr w:type="spellStart"/>
      <w:r w:rsidR="003167DF">
        <w:t>Kum</w:t>
      </w:r>
      <w:proofErr w:type="spellEnd"/>
      <w:r w:rsidR="003167DF">
        <w:t xml:space="preserve"> &amp; Masterson 2010).</w:t>
      </w:r>
    </w:p>
    <w:p w:rsidR="005D5658" w:rsidRDefault="006D488D" w:rsidP="005D5658">
      <w:pPr>
        <w:pStyle w:val="Text"/>
      </w:pPr>
      <w:r>
        <w:t xml:space="preserve">Overall, </w:t>
      </w:r>
      <w:r w:rsidR="003167DF">
        <w:t xml:space="preserve">while </w:t>
      </w:r>
      <w:r>
        <w:t>a statistical matc</w:t>
      </w:r>
      <w:r w:rsidR="0090082D">
        <w:t xml:space="preserve">h between </w:t>
      </w:r>
      <w:r w:rsidR="007D3386">
        <w:t xml:space="preserve">the </w:t>
      </w:r>
      <w:r w:rsidR="0004361E">
        <w:t xml:space="preserve">Longitudinal Study of Australian Children </w:t>
      </w:r>
      <w:r w:rsidR="0090082D">
        <w:t>and LSAY is</w:t>
      </w:r>
      <w:r>
        <w:t xml:space="preserve"> an inte</w:t>
      </w:r>
      <w:r w:rsidR="003167DF">
        <w:t xml:space="preserve">resting empirical exercise, the </w:t>
      </w:r>
      <w:r w:rsidR="00655E6A">
        <w:t>methodological</w:t>
      </w:r>
      <w:r w:rsidR="003167DF">
        <w:t xml:space="preserve"> obstacles are such that any results from </w:t>
      </w:r>
      <w:r w:rsidR="0090082D">
        <w:t xml:space="preserve">analysing </w:t>
      </w:r>
      <w:r w:rsidR="007D3386">
        <w:t>a matched Longitudinal S</w:t>
      </w:r>
      <w:r w:rsidR="00EB2D37">
        <w:t>tudy</w:t>
      </w:r>
      <w:r w:rsidR="007D3386">
        <w:t xml:space="preserve"> of Australian Children—</w:t>
      </w:r>
      <w:r w:rsidR="003167DF">
        <w:t xml:space="preserve">LSAY dataset would lack </w:t>
      </w:r>
      <w:r w:rsidR="0090082D">
        <w:t xml:space="preserve">the </w:t>
      </w:r>
      <w:r w:rsidR="000B75CB">
        <w:t>necessary robustness</w:t>
      </w:r>
      <w:r w:rsidR="0090082D">
        <w:t xml:space="preserve"> </w:t>
      </w:r>
      <w:r w:rsidR="003167DF">
        <w:t>to inform policy and practice</w:t>
      </w:r>
      <w:r w:rsidR="0090082D">
        <w:t xml:space="preserve"> in meaningful ways</w:t>
      </w:r>
      <w:r w:rsidR="003167DF">
        <w:t>.</w:t>
      </w:r>
    </w:p>
    <w:p w:rsidR="00C37E74" w:rsidRPr="00213448" w:rsidRDefault="00C37E74" w:rsidP="007232DC">
      <w:pPr>
        <w:pStyle w:val="Text"/>
      </w:pPr>
    </w:p>
    <w:p w:rsidR="00B101F6" w:rsidRDefault="00B101F6">
      <w:pPr>
        <w:spacing w:before="0" w:line="240" w:lineRule="auto"/>
        <w:rPr>
          <w:rFonts w:ascii="Tahoma" w:hAnsi="Tahoma" w:cs="Tahoma"/>
          <w:color w:val="000000"/>
          <w:kern w:val="28"/>
          <w:sz w:val="56"/>
          <w:szCs w:val="56"/>
        </w:rPr>
      </w:pPr>
      <w:r>
        <w:br w:type="page"/>
      </w:r>
    </w:p>
    <w:p w:rsidR="001316B8" w:rsidRPr="00213448" w:rsidRDefault="005866A1" w:rsidP="005866A1">
      <w:pPr>
        <w:pStyle w:val="Heading1"/>
      </w:pPr>
      <w:bookmarkStart w:id="62" w:name="_Toc358811274"/>
      <w:r w:rsidRPr="00213448">
        <w:lastRenderedPageBreak/>
        <w:t>Conclusion</w:t>
      </w:r>
      <w:bookmarkEnd w:id="62"/>
    </w:p>
    <w:p w:rsidR="00945E81" w:rsidRDefault="00945E81" w:rsidP="00945E81">
      <w:pPr>
        <w:pStyle w:val="Text"/>
      </w:pPr>
      <w:r>
        <w:t>T</w:t>
      </w:r>
      <w:r w:rsidRPr="00213448">
        <w:t xml:space="preserve">his paper </w:t>
      </w:r>
      <w:r w:rsidR="007D3386">
        <w:t xml:space="preserve">has explored two issues: </w:t>
      </w:r>
      <w:r w:rsidRPr="00213448">
        <w:t xml:space="preserve">the potential for </w:t>
      </w:r>
      <w:r>
        <w:t>broadening LSAY with administrative collections through data linkage</w:t>
      </w:r>
      <w:r w:rsidR="007D3386">
        <w:t xml:space="preserve"> and</w:t>
      </w:r>
      <w:r>
        <w:t xml:space="preserve"> the feasibility</w:t>
      </w:r>
      <w:r w:rsidRPr="00213448">
        <w:t xml:space="preserve"> of combining data from </w:t>
      </w:r>
      <w:r w:rsidR="0004361E">
        <w:t>the Longitudinal Study of Australian Children</w:t>
      </w:r>
      <w:r>
        <w:t xml:space="preserve"> and LSAY via statistical matching</w:t>
      </w:r>
      <w:r w:rsidRPr="00213448">
        <w:t>.</w:t>
      </w:r>
    </w:p>
    <w:p w:rsidR="008411AC" w:rsidRPr="00213448" w:rsidRDefault="00945E81" w:rsidP="008411AC">
      <w:pPr>
        <w:pStyle w:val="Text"/>
      </w:pPr>
      <w:r>
        <w:t>Statistical matching allows researchers to combine d</w:t>
      </w:r>
      <w:r w:rsidRPr="00213448">
        <w:t xml:space="preserve">ata from different sources </w:t>
      </w:r>
      <w:r>
        <w:t>about different individuals</w:t>
      </w:r>
      <w:r w:rsidR="007D3386">
        <w:t>,</w:t>
      </w:r>
      <w:r>
        <w:t xml:space="preserve"> based on statistical similarity.</w:t>
      </w:r>
      <w:r w:rsidR="009C1BBA">
        <w:t xml:space="preserve"> </w:t>
      </w:r>
      <w:r w:rsidR="00C51C62">
        <w:t>Conceptually</w:t>
      </w:r>
      <w:r w:rsidR="003A6C5C">
        <w:t xml:space="preserve">, </w:t>
      </w:r>
      <w:r w:rsidR="00C51C62">
        <w:t>a statistical match between</w:t>
      </w:r>
      <w:r w:rsidR="003148DD">
        <w:t xml:space="preserve"> </w:t>
      </w:r>
      <w:r w:rsidR="007D3386">
        <w:t xml:space="preserve">the </w:t>
      </w:r>
      <w:r w:rsidR="0004361E">
        <w:t xml:space="preserve">Longitudinal Study of Australian Children </w:t>
      </w:r>
      <w:r w:rsidR="002A5502">
        <w:t xml:space="preserve">and LSAY </w:t>
      </w:r>
      <w:r w:rsidR="003A6C5C">
        <w:t xml:space="preserve">is </w:t>
      </w:r>
      <w:r w:rsidR="00945289">
        <w:t xml:space="preserve">at first sight </w:t>
      </w:r>
      <w:r w:rsidR="003A6C5C">
        <w:t xml:space="preserve">appealing because both surveys </w:t>
      </w:r>
      <w:r w:rsidR="00C51C62">
        <w:t>share similar objectives and are complementary in terms of</w:t>
      </w:r>
      <w:r w:rsidR="003A6C5C">
        <w:t xml:space="preserve"> the age ranges they cover.</w:t>
      </w:r>
      <w:r w:rsidR="008411AC" w:rsidRPr="00213448">
        <w:t xml:space="preserve"> </w:t>
      </w:r>
      <w:r>
        <w:t>In practice, a</w:t>
      </w:r>
      <w:r w:rsidR="0007612C">
        <w:t xml:space="preserve"> closer look at </w:t>
      </w:r>
      <w:r>
        <w:t>matching the two surveys</w:t>
      </w:r>
      <w:r w:rsidR="00153E4E">
        <w:t xml:space="preserve"> reveals a number of </w:t>
      </w:r>
      <w:r>
        <w:t>methodological</w:t>
      </w:r>
      <w:r w:rsidR="00153E4E">
        <w:t xml:space="preserve"> obstacles th</w:t>
      </w:r>
      <w:r>
        <w:t xml:space="preserve">at greatly reduce the </w:t>
      </w:r>
      <w:r w:rsidR="007D3386">
        <w:t xml:space="preserve">feasibility of a </w:t>
      </w:r>
      <w:r w:rsidR="00153E4E">
        <w:t>synthetic dataset</w:t>
      </w:r>
      <w:r w:rsidR="007D3386">
        <w:t xml:space="preserve"> based on these two surveys</w:t>
      </w:r>
      <w:r w:rsidR="00153E4E">
        <w:t>.</w:t>
      </w:r>
      <w:r w:rsidR="009C1BBA">
        <w:t xml:space="preserve"> Results</w:t>
      </w:r>
      <w:r>
        <w:t xml:space="preserve"> generated from such a matched</w:t>
      </w:r>
      <w:r w:rsidR="009C1BBA">
        <w:t xml:space="preserve"> da</w:t>
      </w:r>
      <w:r w:rsidR="00F06094">
        <w:t xml:space="preserve">taset would lack the </w:t>
      </w:r>
      <w:r w:rsidR="000B75CB">
        <w:t>necessary robustness</w:t>
      </w:r>
      <w:r w:rsidR="009C1BBA">
        <w:t xml:space="preserve"> to </w:t>
      </w:r>
      <w:r w:rsidR="0053591E">
        <w:t>inform</w:t>
      </w:r>
      <w:r w:rsidR="009C1BBA">
        <w:t xml:space="preserve"> evidence-based policy.</w:t>
      </w:r>
    </w:p>
    <w:p w:rsidR="000E740B" w:rsidRDefault="00B101F6" w:rsidP="002869AA">
      <w:pPr>
        <w:pStyle w:val="Text"/>
      </w:pPr>
      <w:r>
        <w:t xml:space="preserve">The alternative </w:t>
      </w:r>
      <w:r w:rsidR="004502A3">
        <w:t>option is more viable</w:t>
      </w:r>
      <w:r w:rsidR="00696A67">
        <w:t xml:space="preserve">: broadening LSAY with administrative collections through data linkage. </w:t>
      </w:r>
      <w:r w:rsidR="00134967">
        <w:t>Linked</w:t>
      </w:r>
      <w:r w:rsidR="00EE36D1">
        <w:t xml:space="preserve"> a</w:t>
      </w:r>
      <w:r w:rsidR="005F77AF">
        <w:t>dministrative da</w:t>
      </w:r>
      <w:r w:rsidR="00EB2D37">
        <w:t>ta from the education, training</w:t>
      </w:r>
      <w:r w:rsidR="005F77AF">
        <w:t xml:space="preserve"> and health sectors </w:t>
      </w:r>
      <w:r w:rsidR="00EE36D1">
        <w:t>would allow</w:t>
      </w:r>
      <w:r w:rsidR="00D26218">
        <w:t xml:space="preserve"> </w:t>
      </w:r>
      <w:r w:rsidR="00086D1F">
        <w:t xml:space="preserve">researchers to </w:t>
      </w:r>
      <w:r w:rsidR="00D26218">
        <w:t>explore key drivers of young people’s transition outcomes in LSAY without adding to respondent burden. Th</w:t>
      </w:r>
      <w:r w:rsidR="00134967">
        <w:t xml:space="preserve">e benefits are </w:t>
      </w:r>
      <w:r w:rsidR="00D26218">
        <w:t xml:space="preserve">particularly </w:t>
      </w:r>
      <w:r w:rsidR="00134967">
        <w:t>strong</w:t>
      </w:r>
      <w:r w:rsidR="00D26218">
        <w:t xml:space="preserve"> in topic areas </w:t>
      </w:r>
      <w:r w:rsidR="006526D7">
        <w:t xml:space="preserve">currently </w:t>
      </w:r>
      <w:r w:rsidR="00134967">
        <w:t xml:space="preserve">quite </w:t>
      </w:r>
      <w:r w:rsidR="006526D7">
        <w:t>limited in LSAY</w:t>
      </w:r>
      <w:r w:rsidR="00D26218">
        <w:t xml:space="preserve">, such as health </w:t>
      </w:r>
      <w:r w:rsidR="00086D1F">
        <w:t>information</w:t>
      </w:r>
      <w:r w:rsidR="006D09F6">
        <w:t>,</w:t>
      </w:r>
      <w:r w:rsidR="000E740B">
        <w:t xml:space="preserve"> </w:t>
      </w:r>
      <w:r w:rsidR="00F26773">
        <w:t>childhood d</w:t>
      </w:r>
      <w:r w:rsidR="007D3386">
        <w:t xml:space="preserve">evelopment and </w:t>
      </w:r>
      <w:r w:rsidR="000E740B">
        <w:t>early education outcomes</w:t>
      </w:r>
      <w:r w:rsidR="004F362B">
        <w:t>.</w:t>
      </w:r>
      <w:r w:rsidR="00EE36D1">
        <w:t xml:space="preserve"> </w:t>
      </w:r>
      <w:r w:rsidR="000E740B">
        <w:t xml:space="preserve">This </w:t>
      </w:r>
      <w:r w:rsidR="004502A3">
        <w:t>renders</w:t>
      </w:r>
      <w:r w:rsidR="000E740B">
        <w:t xml:space="preserve"> l</w:t>
      </w:r>
      <w:r w:rsidR="006526D7">
        <w:t>inking</w:t>
      </w:r>
      <w:r w:rsidR="00D26218">
        <w:t xml:space="preserve"> </w:t>
      </w:r>
      <w:r w:rsidR="00BC7B5A">
        <w:t xml:space="preserve">the National Assessment Program — Literacy and Numeracy </w:t>
      </w:r>
      <w:r w:rsidR="004502A3">
        <w:t>and Medicare data to LSAY</w:t>
      </w:r>
      <w:r w:rsidR="000E740B">
        <w:t xml:space="preserve"> the most promising </w:t>
      </w:r>
      <w:r w:rsidR="007D3386">
        <w:t>data-linkage option</w:t>
      </w:r>
      <w:r w:rsidR="00BB5416">
        <w:t xml:space="preserve"> </w:t>
      </w:r>
      <w:r w:rsidR="007D3386">
        <w:t>for exploration.</w:t>
      </w:r>
    </w:p>
    <w:p w:rsidR="00785C74" w:rsidRDefault="00BB5416" w:rsidP="002869AA">
      <w:pPr>
        <w:pStyle w:val="Text"/>
      </w:pPr>
      <w:r>
        <w:t xml:space="preserve">Linking </w:t>
      </w:r>
      <w:r w:rsidR="004F362B">
        <w:t>relevant</w:t>
      </w:r>
      <w:r w:rsidR="00D26218">
        <w:t xml:space="preserve"> administrative datasets </w:t>
      </w:r>
      <w:r w:rsidR="004F362B">
        <w:t xml:space="preserve">to LSAY also </w:t>
      </w:r>
      <w:r w:rsidR="00785C74">
        <w:t>provides an opportunity to generate more accurate</w:t>
      </w:r>
      <w:r w:rsidR="00A6740D">
        <w:t xml:space="preserve"> </w:t>
      </w:r>
      <w:r w:rsidR="00785C74">
        <w:t>information in areas currently coll</w:t>
      </w:r>
      <w:r w:rsidR="004F362B">
        <w:t>ected through respondent recall. This would allow LSAY</w:t>
      </w:r>
      <w:r w:rsidR="00785C74">
        <w:t xml:space="preserve"> to focus on </w:t>
      </w:r>
      <w:r w:rsidR="00747E55">
        <w:t xml:space="preserve">the development of </w:t>
      </w:r>
      <w:r w:rsidR="008A58A2">
        <w:t xml:space="preserve">the </w:t>
      </w:r>
      <w:r w:rsidR="00747E55">
        <w:t xml:space="preserve">more complex measures </w:t>
      </w:r>
      <w:r w:rsidR="00945AC8">
        <w:t>driving youth outcomes</w:t>
      </w:r>
      <w:r w:rsidR="004F362B">
        <w:t>,</w:t>
      </w:r>
      <w:r w:rsidR="00945AC8">
        <w:t xml:space="preserve"> </w:t>
      </w:r>
      <w:r w:rsidR="00747E55">
        <w:t>such a</w:t>
      </w:r>
      <w:r w:rsidR="004F362B">
        <w:t>s social capital and wellbeing.</w:t>
      </w:r>
      <w:r>
        <w:t xml:space="preserve"> The m</w:t>
      </w:r>
      <w:r w:rsidR="004F4ED0">
        <w:t>ost relevant</w:t>
      </w:r>
      <w:r>
        <w:t xml:space="preserve"> datasets include </w:t>
      </w:r>
      <w:proofErr w:type="spellStart"/>
      <w:r>
        <w:t>Centrelink</w:t>
      </w:r>
      <w:proofErr w:type="spellEnd"/>
      <w:r>
        <w:t xml:space="preserve"> data, national education and training statistics, </w:t>
      </w:r>
      <w:r w:rsidR="008A58A2">
        <w:t>and information from the census. T</w:t>
      </w:r>
      <w:r>
        <w:t>he resources and time n</w:t>
      </w:r>
      <w:r w:rsidR="008A58A2">
        <w:t>eeded to undertake data linkage mean</w:t>
      </w:r>
      <w:r w:rsidR="004F4ED0">
        <w:t>s</w:t>
      </w:r>
      <w:r w:rsidR="008A58A2">
        <w:t xml:space="preserve"> that</w:t>
      </w:r>
      <w:r>
        <w:t xml:space="preserve"> it is not feasible to link all of these collections </w:t>
      </w:r>
      <w:r w:rsidR="004F4ED0">
        <w:t>to</w:t>
      </w:r>
      <w:r>
        <w:t xml:space="preserve"> LSAY. The degree of overlap between the populations in LSAY should be considered, as </w:t>
      </w:r>
      <w:r w:rsidR="004F4ED0">
        <w:t>should</w:t>
      </w:r>
      <w:r>
        <w:t xml:space="preserve"> the extent of additional information that would be usef</w:t>
      </w:r>
      <w:r w:rsidR="008A58A2">
        <w:t>ul to researchers and policy-</w:t>
      </w:r>
      <w:r w:rsidR="004502A3">
        <w:t>makers</w:t>
      </w:r>
      <w:r>
        <w:t>.</w:t>
      </w:r>
    </w:p>
    <w:p w:rsidR="00747E55" w:rsidRDefault="006526D7" w:rsidP="00DF46DA">
      <w:pPr>
        <w:pStyle w:val="Text"/>
      </w:pPr>
      <w:r>
        <w:t xml:space="preserve">The number of international research projects </w:t>
      </w:r>
      <w:r w:rsidR="008A58A2">
        <w:t>taking advantage</w:t>
      </w:r>
      <w:r>
        <w:t xml:space="preserve"> of dat</w:t>
      </w:r>
      <w:r w:rsidR="004F4ED0">
        <w:t>a linkage is rapidly increasing, with</w:t>
      </w:r>
      <w:r w:rsidR="00941FF1">
        <w:t xml:space="preserve"> </w:t>
      </w:r>
      <w:r w:rsidR="008A58A2">
        <w:t xml:space="preserve">the </w:t>
      </w:r>
      <w:r w:rsidR="0004361E">
        <w:t xml:space="preserve">Longitudinal Study of Australian Children </w:t>
      </w:r>
      <w:r w:rsidR="004F4ED0">
        <w:t>in Australia providing</w:t>
      </w:r>
      <w:r w:rsidR="00443FC1">
        <w:t xml:space="preserve"> a </w:t>
      </w:r>
      <w:r w:rsidR="00941FF1">
        <w:t xml:space="preserve">successful </w:t>
      </w:r>
      <w:r w:rsidR="00747E55">
        <w:t xml:space="preserve">model of </w:t>
      </w:r>
      <w:r w:rsidR="00941FF1">
        <w:t>linking administrative data</w:t>
      </w:r>
      <w:r w:rsidR="00443FC1">
        <w:t xml:space="preserve"> </w:t>
      </w:r>
      <w:r w:rsidR="00941FF1">
        <w:t>to</w:t>
      </w:r>
      <w:r w:rsidR="00443FC1">
        <w:t xml:space="preserve"> a </w:t>
      </w:r>
      <w:r>
        <w:t xml:space="preserve">flagship </w:t>
      </w:r>
      <w:r w:rsidR="00443FC1">
        <w:t>longitud</w:t>
      </w:r>
      <w:r w:rsidR="0058091F">
        <w:t>inal survey</w:t>
      </w:r>
      <w:r w:rsidR="00941FF1">
        <w:t xml:space="preserve">. </w:t>
      </w:r>
      <w:r w:rsidR="00C2454C">
        <w:t xml:space="preserve">The conclusion from this </w:t>
      </w:r>
      <w:r w:rsidR="00E17D60">
        <w:t xml:space="preserve">discussion </w:t>
      </w:r>
      <w:r w:rsidR="00C2454C">
        <w:t xml:space="preserve">paper is that </w:t>
      </w:r>
      <w:r w:rsidR="00A754BB">
        <w:t>strong consideration should be given to concrete plans</w:t>
      </w:r>
      <w:r w:rsidR="00C2454C">
        <w:t xml:space="preserve"> </w:t>
      </w:r>
      <w:r w:rsidR="00A754BB">
        <w:t>for linking</w:t>
      </w:r>
      <w:r w:rsidR="00C2454C">
        <w:t xml:space="preserve"> administrative collections </w:t>
      </w:r>
      <w:r w:rsidR="00A754BB">
        <w:t>to LSAY</w:t>
      </w:r>
      <w:r w:rsidR="00E17D60">
        <w:t xml:space="preserve">, starting with </w:t>
      </w:r>
      <w:r w:rsidR="00BC7B5A">
        <w:t xml:space="preserve">the National Assessment Program — Literacy and Numeracy </w:t>
      </w:r>
      <w:r w:rsidR="00E17D60">
        <w:t>and Medicare data</w:t>
      </w:r>
      <w:r w:rsidR="00C2454C">
        <w:t>.</w:t>
      </w:r>
      <w:r w:rsidR="00E17D60">
        <w:t xml:space="preserve"> Once a process for data linkage has been developed for LSAY, linking with either </w:t>
      </w:r>
      <w:proofErr w:type="spellStart"/>
      <w:r w:rsidR="00E17D60">
        <w:t>Centrelink</w:t>
      </w:r>
      <w:proofErr w:type="spellEnd"/>
      <w:r w:rsidR="00E17D60">
        <w:t xml:space="preserve"> data or </w:t>
      </w:r>
      <w:r w:rsidR="004502A3">
        <w:t xml:space="preserve">the Australian Census </w:t>
      </w:r>
      <w:r w:rsidR="008A58A2">
        <w:t>can be investigated, based</w:t>
      </w:r>
      <w:r w:rsidR="00E17D60">
        <w:t xml:space="preserve"> on </w:t>
      </w:r>
      <w:r w:rsidR="008A58A2">
        <w:t>a detailed cost—</w:t>
      </w:r>
      <w:r w:rsidR="004502A3">
        <w:t>benefit analysis.</w:t>
      </w:r>
    </w:p>
    <w:p w:rsidR="009C2ACB" w:rsidRPr="00213448" w:rsidRDefault="009C2ACB" w:rsidP="009D1031">
      <w:pPr>
        <w:pStyle w:val="Text"/>
      </w:pPr>
    </w:p>
    <w:p w:rsidR="00D43B5F" w:rsidRPr="00213448" w:rsidRDefault="00D43B5F">
      <w:pPr>
        <w:spacing w:before="0" w:line="240" w:lineRule="auto"/>
        <w:rPr>
          <w:rFonts w:ascii="Tahoma" w:hAnsi="Tahoma"/>
          <w:b/>
          <w:sz w:val="17"/>
        </w:rPr>
      </w:pPr>
      <w:bookmarkStart w:id="63" w:name="_Toc296497273"/>
      <w:r w:rsidRPr="00213448">
        <w:br w:type="page"/>
      </w:r>
    </w:p>
    <w:p w:rsidR="00A50895" w:rsidRPr="00213448" w:rsidRDefault="00A50895" w:rsidP="00A50895">
      <w:pPr>
        <w:pStyle w:val="Heading1"/>
      </w:pPr>
      <w:bookmarkStart w:id="64" w:name="_Toc456000800"/>
      <w:bookmarkStart w:id="65" w:name="_Toc457122465"/>
      <w:bookmarkStart w:id="66" w:name="_Toc188077643"/>
      <w:bookmarkStart w:id="67" w:name="_Toc358811275"/>
      <w:bookmarkEnd w:id="63"/>
      <w:r w:rsidRPr="00213448">
        <w:lastRenderedPageBreak/>
        <w:t>References</w:t>
      </w:r>
      <w:bookmarkEnd w:id="64"/>
      <w:bookmarkEnd w:id="65"/>
      <w:bookmarkEnd w:id="66"/>
      <w:bookmarkEnd w:id="67"/>
    </w:p>
    <w:p w:rsidR="00E96539" w:rsidRDefault="00E96539" w:rsidP="00E96539">
      <w:pPr>
        <w:pStyle w:val="References"/>
      </w:pPr>
      <w:r>
        <w:t>Andr</w:t>
      </w:r>
      <w:r w:rsidR="00292160">
        <w:t xml:space="preserve">ews, D, Green, C &amp; </w:t>
      </w:r>
      <w:proofErr w:type="spellStart"/>
      <w:r w:rsidR="00292160">
        <w:t>Mangan</w:t>
      </w:r>
      <w:proofErr w:type="spellEnd"/>
      <w:r w:rsidR="00292160">
        <w:t>, A</w:t>
      </w:r>
      <w:r>
        <w:t xml:space="preserve"> 2004,</w:t>
      </w:r>
      <w:r w:rsidRPr="00E96539">
        <w:t xml:space="preserve"> </w:t>
      </w:r>
      <w:r w:rsidR="008A58A2">
        <w:t>‘</w:t>
      </w:r>
      <w:r w:rsidRPr="00E96539">
        <w:t>Spatial inequality in the A</w:t>
      </w:r>
      <w:r>
        <w:t>ustralian youth labour market: t</w:t>
      </w:r>
      <w:r w:rsidRPr="00E96539">
        <w:t>he ro</w:t>
      </w:r>
      <w:r>
        <w:t>le of neighbourhood composition</w:t>
      </w:r>
      <w:r w:rsidR="008A58A2">
        <w:t>’</w:t>
      </w:r>
      <w:r>
        <w:t>,</w:t>
      </w:r>
      <w:r w:rsidRPr="00E96539">
        <w:t xml:space="preserve"> </w:t>
      </w:r>
      <w:r w:rsidRPr="00E96539">
        <w:rPr>
          <w:i/>
        </w:rPr>
        <w:t xml:space="preserve">Regional Studies, </w:t>
      </w:r>
      <w:r w:rsidR="008A58A2">
        <w:t>vol.</w:t>
      </w:r>
      <w:r w:rsidRPr="008A58A2">
        <w:t>38</w:t>
      </w:r>
      <w:r>
        <w:t xml:space="preserve">, </w:t>
      </w:r>
      <w:r w:rsidR="0026179F">
        <w:t xml:space="preserve">no.1, </w:t>
      </w:r>
      <w:r w:rsidR="008A58A2">
        <w:t>pp.15—</w:t>
      </w:r>
      <w:r w:rsidRPr="00E96539">
        <w:t>25.</w:t>
      </w:r>
    </w:p>
    <w:p w:rsidR="008B4200" w:rsidRDefault="008B4200" w:rsidP="008B4200">
      <w:pPr>
        <w:pStyle w:val="References"/>
        <w:rPr>
          <w:lang w:val="en-US"/>
        </w:rPr>
      </w:pPr>
      <w:proofErr w:type="spellStart"/>
      <w:r w:rsidRPr="008B4200">
        <w:rPr>
          <w:lang w:val="en-US"/>
        </w:rPr>
        <w:t>A</w:t>
      </w:r>
      <w:r w:rsidR="002A0A65">
        <w:rPr>
          <w:lang w:val="en-US"/>
        </w:rPr>
        <w:t>ugurzky</w:t>
      </w:r>
      <w:proofErr w:type="spellEnd"/>
      <w:r w:rsidR="002A0A65">
        <w:rPr>
          <w:lang w:val="en-US"/>
        </w:rPr>
        <w:t>, B &amp; Schmidt, CM</w:t>
      </w:r>
      <w:r>
        <w:rPr>
          <w:lang w:val="en-US"/>
        </w:rPr>
        <w:t xml:space="preserve"> 2001,</w:t>
      </w:r>
      <w:r w:rsidRPr="008B4200">
        <w:rPr>
          <w:lang w:val="en-US"/>
        </w:rPr>
        <w:t xml:space="preserve"> </w:t>
      </w:r>
      <w:proofErr w:type="gramStart"/>
      <w:r w:rsidR="008A58A2">
        <w:rPr>
          <w:i/>
          <w:lang w:val="en-US"/>
        </w:rPr>
        <w:t>The</w:t>
      </w:r>
      <w:proofErr w:type="gramEnd"/>
      <w:r w:rsidR="008A58A2">
        <w:rPr>
          <w:i/>
          <w:lang w:val="en-US"/>
        </w:rPr>
        <w:t xml:space="preserve"> propensity score: a</w:t>
      </w:r>
      <w:r w:rsidRPr="008B4200">
        <w:rPr>
          <w:i/>
          <w:lang w:val="en-US"/>
        </w:rPr>
        <w:t xml:space="preserve"> means to an end</w:t>
      </w:r>
      <w:r w:rsidR="00292160">
        <w:rPr>
          <w:lang w:val="en-US"/>
        </w:rPr>
        <w:t xml:space="preserve">, </w:t>
      </w:r>
      <w:r>
        <w:rPr>
          <w:lang w:val="en-US"/>
        </w:rPr>
        <w:t xml:space="preserve">Working </w:t>
      </w:r>
      <w:r w:rsidR="00292160">
        <w:rPr>
          <w:lang w:val="en-US"/>
        </w:rPr>
        <w:t>paper no.</w:t>
      </w:r>
      <w:r>
        <w:rPr>
          <w:lang w:val="en-US"/>
        </w:rPr>
        <w:t>27</w:t>
      </w:r>
      <w:r w:rsidR="00292160">
        <w:rPr>
          <w:lang w:val="en-US"/>
        </w:rPr>
        <w:t>1</w:t>
      </w:r>
      <w:r>
        <w:rPr>
          <w:lang w:val="en-US"/>
        </w:rPr>
        <w:t xml:space="preserve">, </w:t>
      </w:r>
      <w:r w:rsidRPr="008B4200">
        <w:rPr>
          <w:lang w:val="en-US"/>
        </w:rPr>
        <w:t>Univ</w:t>
      </w:r>
      <w:r w:rsidR="002A0A65">
        <w:rPr>
          <w:lang w:val="en-US"/>
        </w:rPr>
        <w:t xml:space="preserve">ersity of Heidelberg, Institute </w:t>
      </w:r>
      <w:r w:rsidRPr="008B4200">
        <w:rPr>
          <w:lang w:val="en-US"/>
        </w:rPr>
        <w:t>for the Study of Labor.</w:t>
      </w:r>
    </w:p>
    <w:p w:rsidR="008E47D1" w:rsidRDefault="008E47D1" w:rsidP="00E96539">
      <w:pPr>
        <w:pStyle w:val="References"/>
      </w:pPr>
      <w:r>
        <w:t>Australian Instit</w:t>
      </w:r>
      <w:r w:rsidR="00292160">
        <w:t>ute of Health and Welfare</w:t>
      </w:r>
      <w:r>
        <w:t xml:space="preserve"> 2012, </w:t>
      </w:r>
      <w:r w:rsidRPr="00C25EE3">
        <w:rPr>
          <w:i/>
        </w:rPr>
        <w:t>Linking SAAP, child protection and juvenile justice data</w:t>
      </w:r>
      <w:r w:rsidR="00C25EE3">
        <w:t>,</w:t>
      </w:r>
      <w:r w:rsidR="00292160" w:rsidRPr="00292160">
        <w:t xml:space="preserve"> </w:t>
      </w:r>
      <w:r w:rsidR="00292160">
        <w:t>AIHW, Canberra.</w:t>
      </w:r>
    </w:p>
    <w:p w:rsidR="00C25EE3" w:rsidRDefault="00C25EE3" w:rsidP="00C25EE3">
      <w:pPr>
        <w:pStyle w:val="References"/>
      </w:pPr>
      <w:r w:rsidRPr="00C25EE3">
        <w:t xml:space="preserve">Australian Institute of Health and Welfare </w:t>
      </w:r>
      <w:r w:rsidR="00292160">
        <w:t>&amp;</w:t>
      </w:r>
      <w:r w:rsidRPr="00C25EE3">
        <w:t xml:space="preserve"> </w:t>
      </w:r>
      <w:r w:rsidR="00292160">
        <w:t>ABS</w:t>
      </w:r>
      <w:r w:rsidR="00292160" w:rsidRPr="00C25EE3">
        <w:t xml:space="preserve"> </w:t>
      </w:r>
      <w:r w:rsidR="00292160">
        <w:t>(Australian Bureau of Statistics)</w:t>
      </w:r>
      <w:r>
        <w:t xml:space="preserve"> 2012,</w:t>
      </w:r>
      <w:r w:rsidRPr="00C25EE3">
        <w:t xml:space="preserve"> </w:t>
      </w:r>
      <w:r w:rsidRPr="00C25EE3">
        <w:rPr>
          <w:i/>
        </w:rPr>
        <w:t>National best practice guidelines for data linkage activities relating to Aboriginal and Torres Strait Islander people</w:t>
      </w:r>
      <w:r>
        <w:t>,</w:t>
      </w:r>
      <w:r w:rsidR="00292160">
        <w:t xml:space="preserve"> AIHW,</w:t>
      </w:r>
      <w:r w:rsidR="00292160" w:rsidRPr="00292160">
        <w:t xml:space="preserve"> </w:t>
      </w:r>
      <w:r w:rsidR="00292160" w:rsidRPr="00C25EE3">
        <w:t>Canberra</w:t>
      </w:r>
      <w:r w:rsidR="00292160">
        <w:t>.</w:t>
      </w:r>
    </w:p>
    <w:p w:rsidR="007A26AC" w:rsidRDefault="007A26AC" w:rsidP="00E96539">
      <w:pPr>
        <w:pStyle w:val="References"/>
      </w:pPr>
      <w:r>
        <w:t>A</w:t>
      </w:r>
      <w:r w:rsidR="00292160">
        <w:t>ustralian Law Reform Commission</w:t>
      </w:r>
      <w:r>
        <w:t xml:space="preserve"> 2008</w:t>
      </w:r>
      <w:r w:rsidRPr="00D070BC">
        <w:rPr>
          <w:i/>
        </w:rPr>
        <w:t xml:space="preserve">, </w:t>
      </w:r>
      <w:proofErr w:type="gramStart"/>
      <w:r w:rsidRPr="00D070BC">
        <w:rPr>
          <w:i/>
        </w:rPr>
        <w:t>For</w:t>
      </w:r>
      <w:proofErr w:type="gramEnd"/>
      <w:r w:rsidRPr="00D070BC">
        <w:rPr>
          <w:i/>
        </w:rPr>
        <w:t xml:space="preserve"> your information: Australian </w:t>
      </w:r>
      <w:r w:rsidR="006E2F57" w:rsidRPr="00D070BC">
        <w:rPr>
          <w:i/>
        </w:rPr>
        <w:t>privacy law and practice</w:t>
      </w:r>
      <w:r w:rsidR="006C0EE7">
        <w:rPr>
          <w:i/>
        </w:rPr>
        <w:t>,</w:t>
      </w:r>
      <w:r w:rsidR="006C0EE7">
        <w:t xml:space="preserve"> </w:t>
      </w:r>
      <w:r w:rsidR="00292160">
        <w:t>ACLR, Canberra</w:t>
      </w:r>
      <w:r w:rsidR="006C0EE7">
        <w:t>.</w:t>
      </w:r>
    </w:p>
    <w:p w:rsidR="005B4083" w:rsidRDefault="00292160" w:rsidP="00E96539">
      <w:pPr>
        <w:pStyle w:val="References"/>
      </w:pPr>
      <w:proofErr w:type="gramStart"/>
      <w:r>
        <w:t>Baser, O</w:t>
      </w:r>
      <w:r w:rsidR="005B4083">
        <w:t xml:space="preserve"> 2006, </w:t>
      </w:r>
      <w:r>
        <w:t>‘</w:t>
      </w:r>
      <w:r w:rsidR="005B4083" w:rsidRPr="005B4083">
        <w:t>Too much ado about propensity score models?</w:t>
      </w:r>
      <w:proofErr w:type="gramEnd"/>
      <w:r w:rsidR="005B4083" w:rsidRPr="005B4083">
        <w:t xml:space="preserve"> </w:t>
      </w:r>
      <w:proofErr w:type="gramStart"/>
      <w:r w:rsidR="005B4083" w:rsidRPr="005B4083">
        <w:t>Comparing methods of propensity score matching</w:t>
      </w:r>
      <w:r>
        <w:t>’</w:t>
      </w:r>
      <w:r w:rsidR="005B4083">
        <w:t xml:space="preserve">, </w:t>
      </w:r>
      <w:r w:rsidR="005B4083" w:rsidRPr="005B4083">
        <w:rPr>
          <w:i/>
        </w:rPr>
        <w:t>Value Health</w:t>
      </w:r>
      <w:r w:rsidR="005B4083">
        <w:t xml:space="preserve">, </w:t>
      </w:r>
      <w:r>
        <w:t>vol.</w:t>
      </w:r>
      <w:r w:rsidR="005B4083">
        <w:t xml:space="preserve">9, </w:t>
      </w:r>
      <w:r w:rsidR="0026179F">
        <w:t xml:space="preserve">no.6, </w:t>
      </w:r>
      <w:r>
        <w:t>pp.377—</w:t>
      </w:r>
      <w:r w:rsidR="005B4083">
        <w:t>85.</w:t>
      </w:r>
      <w:proofErr w:type="gramEnd"/>
    </w:p>
    <w:p w:rsidR="00EB1AAA" w:rsidRDefault="00EB1AAA" w:rsidP="00E96539">
      <w:pPr>
        <w:pStyle w:val="References"/>
      </w:pPr>
      <w:proofErr w:type="gramStart"/>
      <w:r>
        <w:t xml:space="preserve">Blakely, T &amp; </w:t>
      </w:r>
      <w:proofErr w:type="spellStart"/>
      <w:r w:rsidR="00292160">
        <w:t>Salmond</w:t>
      </w:r>
      <w:proofErr w:type="spellEnd"/>
      <w:r w:rsidR="00292160">
        <w:t>, C</w:t>
      </w:r>
      <w:r w:rsidRPr="00EB1AAA">
        <w:t xml:space="preserve"> 2002, </w:t>
      </w:r>
      <w:r w:rsidR="00292160">
        <w:t>‘</w:t>
      </w:r>
      <w:r w:rsidRPr="00EB1AAA">
        <w:t>Probabilistic record linkage and a method to calculate the positive predictive value</w:t>
      </w:r>
      <w:r w:rsidR="00292160">
        <w:t>’</w:t>
      </w:r>
      <w:r w:rsidRPr="00EB1AAA">
        <w:t xml:space="preserve">, </w:t>
      </w:r>
      <w:r w:rsidRPr="00CF1995">
        <w:rPr>
          <w:i/>
        </w:rPr>
        <w:t xml:space="preserve">International Journal of Epidemiology, </w:t>
      </w:r>
      <w:r w:rsidR="00292160">
        <w:t>vol.</w:t>
      </w:r>
      <w:r w:rsidRPr="00292160">
        <w:t>31</w:t>
      </w:r>
      <w:r w:rsidRPr="00EB1AAA">
        <w:t xml:space="preserve">, </w:t>
      </w:r>
      <w:r w:rsidR="0026179F">
        <w:t xml:space="preserve">no.6, </w:t>
      </w:r>
      <w:r w:rsidR="00292160">
        <w:t>pp.1246—</w:t>
      </w:r>
      <w:r w:rsidRPr="00EB1AAA">
        <w:t>52.</w:t>
      </w:r>
      <w:proofErr w:type="gramEnd"/>
    </w:p>
    <w:p w:rsidR="00B1086D" w:rsidRDefault="00B1086D" w:rsidP="00E96539">
      <w:pPr>
        <w:pStyle w:val="References"/>
      </w:pPr>
      <w:r>
        <w:t>Blakemore</w:t>
      </w:r>
      <w:r w:rsidR="008B4200">
        <w:t xml:space="preserve">, T, </w:t>
      </w:r>
      <w:proofErr w:type="spellStart"/>
      <w:r w:rsidR="008B4200">
        <w:t>Strazdins</w:t>
      </w:r>
      <w:proofErr w:type="spellEnd"/>
      <w:r w:rsidR="008B4200">
        <w:t xml:space="preserve">, L &amp; </w:t>
      </w:r>
      <w:proofErr w:type="spellStart"/>
      <w:r w:rsidR="008B4200">
        <w:t>Gibbings</w:t>
      </w:r>
      <w:proofErr w:type="spellEnd"/>
      <w:r w:rsidR="008B4200">
        <w:t>, J</w:t>
      </w:r>
      <w:r>
        <w:t xml:space="preserve"> 2009, </w:t>
      </w:r>
      <w:r w:rsidR="00292160">
        <w:t>‘</w:t>
      </w:r>
      <w:r>
        <w:t>Measuring family socioeconomic position</w:t>
      </w:r>
      <w:r w:rsidR="00292160">
        <w:t>’</w:t>
      </w:r>
      <w:r>
        <w:t xml:space="preserve">, </w:t>
      </w:r>
      <w:r w:rsidRPr="008B4200">
        <w:rPr>
          <w:i/>
        </w:rPr>
        <w:t xml:space="preserve">Australian Social Policy, </w:t>
      </w:r>
      <w:r w:rsidR="00292160">
        <w:t>vol.</w:t>
      </w:r>
      <w:r w:rsidR="0026179F">
        <w:t>1, no.8</w:t>
      </w:r>
      <w:r>
        <w:t xml:space="preserve">, </w:t>
      </w:r>
      <w:r w:rsidR="00292160">
        <w:t>pp.121—</w:t>
      </w:r>
      <w:r w:rsidR="008B4200">
        <w:t>68.</w:t>
      </w:r>
    </w:p>
    <w:p w:rsidR="00BA67E7" w:rsidRPr="00BA67E7" w:rsidRDefault="007F6524" w:rsidP="00BA67E7">
      <w:pPr>
        <w:pStyle w:val="References"/>
        <w:rPr>
          <w:bCs/>
        </w:rPr>
      </w:pPr>
      <w:hyperlink r:id="rId13" w:history="1">
        <w:r w:rsidR="00BA67E7" w:rsidRPr="00BA67E7">
          <w:rPr>
            <w:rStyle w:val="Hyperlink"/>
            <w:sz w:val="18"/>
          </w:rPr>
          <w:t>Bosch-</w:t>
        </w:r>
        <w:proofErr w:type="spellStart"/>
        <w:r w:rsidR="00BA67E7" w:rsidRPr="00BA67E7">
          <w:rPr>
            <w:rStyle w:val="Hyperlink"/>
            <w:sz w:val="18"/>
          </w:rPr>
          <w:t>Capblanch</w:t>
        </w:r>
        <w:proofErr w:type="spellEnd"/>
        <w:r w:rsidR="00BA67E7">
          <w:rPr>
            <w:rStyle w:val="Hyperlink"/>
            <w:sz w:val="18"/>
          </w:rPr>
          <w:t>,</w:t>
        </w:r>
        <w:r w:rsidR="00BA67E7" w:rsidRPr="00BA67E7">
          <w:rPr>
            <w:rStyle w:val="Hyperlink"/>
            <w:sz w:val="18"/>
          </w:rPr>
          <w:t xml:space="preserve"> X</w:t>
        </w:r>
      </w:hyperlink>
      <w:r w:rsidR="00BA67E7">
        <w:t xml:space="preserve"> </w:t>
      </w:r>
      <w:r w:rsidR="00BA67E7" w:rsidRPr="00BA67E7">
        <w:t xml:space="preserve">2011, </w:t>
      </w:r>
      <w:r w:rsidR="00292160">
        <w:t>‘</w:t>
      </w:r>
      <w:r w:rsidR="00BA67E7" w:rsidRPr="00BA67E7">
        <w:rPr>
          <w:bCs/>
        </w:rPr>
        <w:t xml:space="preserve">Harmonisation of variables names prior to conducting statistical analyses with multiple </w:t>
      </w:r>
      <w:r w:rsidR="00BA67E7">
        <w:rPr>
          <w:bCs/>
        </w:rPr>
        <w:t>datasets: an automated approach</w:t>
      </w:r>
      <w:r w:rsidR="00292160">
        <w:rPr>
          <w:bCs/>
        </w:rPr>
        <w:t>’</w:t>
      </w:r>
      <w:r w:rsidR="00BA67E7">
        <w:rPr>
          <w:bCs/>
        </w:rPr>
        <w:t xml:space="preserve">, </w:t>
      </w:r>
      <w:r w:rsidR="00BA67E7" w:rsidRPr="00C95B00">
        <w:rPr>
          <w:bCs/>
          <w:i/>
        </w:rPr>
        <w:t>BMC Medical Informatics and Decision Making</w:t>
      </w:r>
      <w:r w:rsidR="00BA67E7">
        <w:rPr>
          <w:bCs/>
        </w:rPr>
        <w:t xml:space="preserve">, </w:t>
      </w:r>
      <w:r w:rsidR="00292160">
        <w:rPr>
          <w:bCs/>
        </w:rPr>
        <w:t>vol.11</w:t>
      </w:r>
      <w:r w:rsidR="0026179F">
        <w:rPr>
          <w:bCs/>
        </w:rPr>
        <w:t>, no.4</w:t>
      </w:r>
      <w:r w:rsidR="00292160">
        <w:rPr>
          <w:bCs/>
        </w:rPr>
        <w:t>, p.</w:t>
      </w:r>
      <w:r w:rsidR="00C95B00">
        <w:rPr>
          <w:bCs/>
        </w:rPr>
        <w:t>33.</w:t>
      </w:r>
    </w:p>
    <w:p w:rsidR="00010708" w:rsidRDefault="00704D16" w:rsidP="00EB1AAA">
      <w:pPr>
        <w:pStyle w:val="References"/>
      </w:pPr>
      <w:proofErr w:type="gramStart"/>
      <w:r w:rsidRPr="00EB1AAA">
        <w:t xml:space="preserve">Brownell, MD, </w:t>
      </w:r>
      <w:proofErr w:type="spellStart"/>
      <w:r w:rsidRPr="00EB1AAA">
        <w:t>Roos</w:t>
      </w:r>
      <w:proofErr w:type="spellEnd"/>
      <w:r w:rsidRPr="00EB1AAA">
        <w:t xml:space="preserve">, NP, </w:t>
      </w:r>
      <w:proofErr w:type="spellStart"/>
      <w:r w:rsidRPr="00EB1AAA">
        <w:t>MacWilliam</w:t>
      </w:r>
      <w:proofErr w:type="spellEnd"/>
      <w:r w:rsidRPr="00EB1AAA">
        <w:t xml:space="preserve">, L, </w:t>
      </w:r>
      <w:proofErr w:type="spellStart"/>
      <w:r w:rsidRPr="00EB1AAA">
        <w:t>Le</w:t>
      </w:r>
      <w:r w:rsidR="00292160">
        <w:t>clair</w:t>
      </w:r>
      <w:proofErr w:type="spellEnd"/>
      <w:r w:rsidR="00292160">
        <w:t xml:space="preserve">, L, </w:t>
      </w:r>
      <w:proofErr w:type="spellStart"/>
      <w:r w:rsidR="00292160">
        <w:t>Ekuma</w:t>
      </w:r>
      <w:proofErr w:type="spellEnd"/>
      <w:r w:rsidR="00292160">
        <w:t xml:space="preserve">, O &amp; </w:t>
      </w:r>
      <w:proofErr w:type="spellStart"/>
      <w:r w:rsidR="00292160">
        <w:t>Fransoo</w:t>
      </w:r>
      <w:proofErr w:type="spellEnd"/>
      <w:r w:rsidR="00292160">
        <w:t>, R</w:t>
      </w:r>
      <w:r w:rsidRPr="00EB1AAA">
        <w:t xml:space="preserve"> 2010, </w:t>
      </w:r>
      <w:r w:rsidR="00292160">
        <w:t>‘</w:t>
      </w:r>
      <w:r w:rsidRPr="00EB1AAA">
        <w:t>Academic and social outcomes for high-risk youths in Manitoba</w:t>
      </w:r>
      <w:r w:rsidR="00292160">
        <w:t>’</w:t>
      </w:r>
      <w:r w:rsidRPr="00EB1AAA">
        <w:t xml:space="preserve">, </w:t>
      </w:r>
      <w:r w:rsidRPr="00CF1995">
        <w:rPr>
          <w:i/>
        </w:rPr>
        <w:t>Canadian Journal of Education</w:t>
      </w:r>
      <w:r w:rsidRPr="00292160">
        <w:t xml:space="preserve">, </w:t>
      </w:r>
      <w:r w:rsidR="00292160">
        <w:t>vol.</w:t>
      </w:r>
      <w:r w:rsidRPr="00292160">
        <w:t>33,</w:t>
      </w:r>
      <w:r w:rsidRPr="00EB1AAA">
        <w:t xml:space="preserve"> </w:t>
      </w:r>
      <w:r w:rsidR="00292160">
        <w:t>pp.804—</w:t>
      </w:r>
      <w:r w:rsidRPr="00EB1AAA">
        <w:t>36.</w:t>
      </w:r>
      <w:proofErr w:type="gramEnd"/>
    </w:p>
    <w:p w:rsidR="003A0FA4" w:rsidRDefault="008D5EB4" w:rsidP="00EB1AAA">
      <w:pPr>
        <w:pStyle w:val="References"/>
      </w:pPr>
      <w:proofErr w:type="spellStart"/>
      <w:r>
        <w:t>Breunig</w:t>
      </w:r>
      <w:proofErr w:type="spellEnd"/>
      <w:r>
        <w:t>, R, Cobb-Clark,</w:t>
      </w:r>
      <w:r w:rsidR="002C1E23">
        <w:t xml:space="preserve"> D,</w:t>
      </w:r>
      <w:r>
        <w:t xml:space="preserve"> </w:t>
      </w:r>
      <w:proofErr w:type="spellStart"/>
      <w:r>
        <w:t>G</w:t>
      </w:r>
      <w:r w:rsidRPr="008D5EB4">
        <w:rPr>
          <w:sz w:val="14"/>
        </w:rPr>
        <w:t>Ø</w:t>
      </w:r>
      <w:r w:rsidR="003A0FA4">
        <w:t>rgens</w:t>
      </w:r>
      <w:proofErr w:type="spellEnd"/>
      <w:r w:rsidR="003A0FA4">
        <w:t xml:space="preserve">, T, Ryan, C &amp; </w:t>
      </w:r>
      <w:proofErr w:type="spellStart"/>
      <w:r w:rsidR="003A0FA4">
        <w:t>Sartbayeva</w:t>
      </w:r>
      <w:proofErr w:type="spellEnd"/>
      <w:r w:rsidR="003A0FA4">
        <w:t xml:space="preserve">, A 2009, </w:t>
      </w:r>
      <w:r w:rsidR="003A0FA4" w:rsidRPr="006D6B6A">
        <w:rPr>
          <w:i/>
        </w:rPr>
        <w:t xml:space="preserve">User guide to the Youth in Focus data: version 2.0, </w:t>
      </w:r>
      <w:r w:rsidR="003A0FA4" w:rsidRPr="005A27F9">
        <w:t>Youth in Focus p</w:t>
      </w:r>
      <w:r w:rsidR="005A27F9">
        <w:t>roject discussion paper series n</w:t>
      </w:r>
      <w:r w:rsidR="003A0FA4" w:rsidRPr="005A27F9">
        <w:t>o.8</w:t>
      </w:r>
      <w:r w:rsidR="003A0FA4">
        <w:t>,</w:t>
      </w:r>
      <w:r w:rsidR="008B4200">
        <w:t xml:space="preserve"> </w:t>
      </w:r>
      <w:r w:rsidR="003A0FA4">
        <w:t>Australian National Universit</w:t>
      </w:r>
      <w:r w:rsidR="005A27F9">
        <w:t>y, Canberra</w:t>
      </w:r>
      <w:r w:rsidR="002C1E23">
        <w:t>.</w:t>
      </w:r>
    </w:p>
    <w:p w:rsidR="008B4200" w:rsidRDefault="005A27F9" w:rsidP="00EB1AAA">
      <w:pPr>
        <w:pStyle w:val="References"/>
      </w:pPr>
      <w:proofErr w:type="spellStart"/>
      <w:r>
        <w:rPr>
          <w:lang w:val="en-US"/>
        </w:rPr>
        <w:t>Caliendo</w:t>
      </w:r>
      <w:proofErr w:type="spellEnd"/>
      <w:r>
        <w:rPr>
          <w:lang w:val="en-US"/>
        </w:rPr>
        <w:t xml:space="preserve">, M &amp; </w:t>
      </w:r>
      <w:proofErr w:type="spellStart"/>
      <w:r>
        <w:rPr>
          <w:lang w:val="en-US"/>
        </w:rPr>
        <w:t>Kopeinig</w:t>
      </w:r>
      <w:proofErr w:type="spellEnd"/>
      <w:r>
        <w:rPr>
          <w:lang w:val="en-US"/>
        </w:rPr>
        <w:t>, S</w:t>
      </w:r>
      <w:r w:rsidR="00887DFE">
        <w:rPr>
          <w:lang w:val="en-US"/>
        </w:rPr>
        <w:t xml:space="preserve"> 2005,</w:t>
      </w:r>
      <w:r w:rsidR="008B4200" w:rsidRPr="008B4200">
        <w:rPr>
          <w:lang w:val="en-US"/>
        </w:rPr>
        <w:t xml:space="preserve"> </w:t>
      </w:r>
      <w:proofErr w:type="gramStart"/>
      <w:r w:rsidR="008B4200" w:rsidRPr="008B4200">
        <w:rPr>
          <w:i/>
          <w:lang w:val="en-US"/>
        </w:rPr>
        <w:t>Some</w:t>
      </w:r>
      <w:proofErr w:type="gramEnd"/>
      <w:r w:rsidR="008B4200" w:rsidRPr="008B4200">
        <w:rPr>
          <w:i/>
          <w:lang w:val="en-US"/>
        </w:rPr>
        <w:t xml:space="preserve"> practical guidance for the implementation of propensity score matching</w:t>
      </w:r>
      <w:r>
        <w:rPr>
          <w:i/>
          <w:lang w:val="en-US"/>
        </w:rPr>
        <w:t>,</w:t>
      </w:r>
      <w:r>
        <w:rPr>
          <w:lang w:val="en-US"/>
        </w:rPr>
        <w:t xml:space="preserve"> </w:t>
      </w:r>
      <w:r w:rsidR="00887DFE">
        <w:rPr>
          <w:lang w:val="en-US"/>
        </w:rPr>
        <w:t xml:space="preserve">Discussion </w:t>
      </w:r>
      <w:r>
        <w:rPr>
          <w:lang w:val="en-US"/>
        </w:rPr>
        <w:t>paper no.1588</w:t>
      </w:r>
      <w:r w:rsidR="00887DFE">
        <w:rPr>
          <w:lang w:val="en-US"/>
        </w:rPr>
        <w:t>,</w:t>
      </w:r>
      <w:r w:rsidR="008B4200" w:rsidRPr="008B4200">
        <w:rPr>
          <w:lang w:val="en-US"/>
        </w:rPr>
        <w:t xml:space="preserve"> University of Bonn, Institute for the Study of Labor</w:t>
      </w:r>
      <w:r w:rsidR="002A0A65">
        <w:rPr>
          <w:lang w:val="en-US"/>
        </w:rPr>
        <w:t>,</w:t>
      </w:r>
      <w:r w:rsidR="002A0A65" w:rsidRPr="002A0A65">
        <w:rPr>
          <w:lang w:val="en-US"/>
        </w:rPr>
        <w:t xml:space="preserve"> </w:t>
      </w:r>
      <w:r w:rsidR="002A0A65" w:rsidRPr="008B4200">
        <w:rPr>
          <w:lang w:val="en-US"/>
        </w:rPr>
        <w:t>Bonn</w:t>
      </w:r>
      <w:r w:rsidR="008B4200" w:rsidRPr="008B4200">
        <w:rPr>
          <w:lang w:val="en-US"/>
        </w:rPr>
        <w:t>.</w:t>
      </w:r>
    </w:p>
    <w:p w:rsidR="00D86552" w:rsidRPr="00D86552" w:rsidRDefault="00D86552" w:rsidP="00D86552">
      <w:pPr>
        <w:pStyle w:val="References"/>
      </w:pPr>
      <w:bookmarkStart w:id="68" w:name="_ENREF_9"/>
      <w:proofErr w:type="spellStart"/>
      <w:proofErr w:type="gramStart"/>
      <w:r>
        <w:t>Cardak</w:t>
      </w:r>
      <w:proofErr w:type="spellEnd"/>
      <w:r>
        <w:t xml:space="preserve">, BA &amp; </w:t>
      </w:r>
      <w:r w:rsidRPr="00D86552">
        <w:t>McDonald</w:t>
      </w:r>
      <w:r w:rsidR="005A27F9">
        <w:t>, JT</w:t>
      </w:r>
      <w:r>
        <w:t xml:space="preserve"> 2004, </w:t>
      </w:r>
      <w:r w:rsidR="005A27F9">
        <w:t>‘</w:t>
      </w:r>
      <w:r w:rsidRPr="00D86552">
        <w:t>Neighbourhood effects, preference heterogeneity and im</w:t>
      </w:r>
      <w:r>
        <w:t>migrant educational attainment</w:t>
      </w:r>
      <w:r w:rsidR="005A27F9">
        <w:t>’</w:t>
      </w:r>
      <w:r>
        <w:t>,</w:t>
      </w:r>
      <w:r w:rsidRPr="00D86552">
        <w:t xml:space="preserve"> </w:t>
      </w:r>
      <w:r w:rsidRPr="00D86552">
        <w:rPr>
          <w:i/>
        </w:rPr>
        <w:t>Applied Economics</w:t>
      </w:r>
      <w:r w:rsidRPr="005A27F9">
        <w:t xml:space="preserve">, </w:t>
      </w:r>
      <w:r w:rsidR="005A27F9">
        <w:t>vol.</w:t>
      </w:r>
      <w:r w:rsidRPr="005A27F9">
        <w:t>36,</w:t>
      </w:r>
      <w:r w:rsidRPr="00D86552">
        <w:t xml:space="preserve"> </w:t>
      </w:r>
      <w:r w:rsidR="0026179F">
        <w:t xml:space="preserve">no.6, </w:t>
      </w:r>
      <w:r w:rsidR="005A27F9">
        <w:t>pp.559—</w:t>
      </w:r>
      <w:r w:rsidRPr="00D86552">
        <w:t>72.</w:t>
      </w:r>
      <w:bookmarkEnd w:id="68"/>
      <w:proofErr w:type="gramEnd"/>
    </w:p>
    <w:p w:rsidR="00D51B16" w:rsidRPr="00EB1AAA" w:rsidRDefault="00D51B16" w:rsidP="00EB1AAA">
      <w:pPr>
        <w:pStyle w:val="References"/>
      </w:pPr>
      <w:proofErr w:type="spellStart"/>
      <w:r w:rsidRPr="00EB1AAA">
        <w:t>Chowdry</w:t>
      </w:r>
      <w:proofErr w:type="spellEnd"/>
      <w:r w:rsidRPr="00EB1AAA">
        <w:t xml:space="preserve">, H, Crawford, C, </w:t>
      </w:r>
      <w:proofErr w:type="spellStart"/>
      <w:r w:rsidRPr="00EB1AAA">
        <w:t>Dearden</w:t>
      </w:r>
      <w:proofErr w:type="spellEnd"/>
      <w:r w:rsidRPr="00EB1AAA">
        <w:t>, L</w:t>
      </w:r>
      <w:r w:rsidR="00010708" w:rsidRPr="00EB1AAA">
        <w:t xml:space="preserve">, </w:t>
      </w:r>
      <w:r w:rsidRPr="00EB1AAA">
        <w:t>Goodman</w:t>
      </w:r>
      <w:r w:rsidR="00010708" w:rsidRPr="00EB1AAA">
        <w:t xml:space="preserve">, A &amp; </w:t>
      </w:r>
      <w:proofErr w:type="spellStart"/>
      <w:r w:rsidRPr="00EB1AAA">
        <w:t>Vignoles</w:t>
      </w:r>
      <w:proofErr w:type="spellEnd"/>
      <w:r w:rsidR="005A27F9">
        <w:t>, A</w:t>
      </w:r>
      <w:r w:rsidR="00010708" w:rsidRPr="00EB1AAA">
        <w:t xml:space="preserve"> 2008, </w:t>
      </w:r>
      <w:proofErr w:type="gramStart"/>
      <w:r w:rsidR="00010708" w:rsidRPr="00CF1995">
        <w:rPr>
          <w:i/>
        </w:rPr>
        <w:t>Widening</w:t>
      </w:r>
      <w:proofErr w:type="gramEnd"/>
      <w:r w:rsidR="00010708" w:rsidRPr="00CF1995">
        <w:rPr>
          <w:i/>
        </w:rPr>
        <w:t xml:space="preserve"> participation in higher e</w:t>
      </w:r>
      <w:r w:rsidRPr="00CF1995">
        <w:rPr>
          <w:i/>
        </w:rPr>
        <w:t>ducation:</w:t>
      </w:r>
      <w:r w:rsidR="00010708" w:rsidRPr="00CF1995">
        <w:rPr>
          <w:i/>
        </w:rPr>
        <w:t xml:space="preserve"> analysis using linked a</w:t>
      </w:r>
      <w:r w:rsidRPr="00CF1995">
        <w:rPr>
          <w:i/>
        </w:rPr>
        <w:t>dmini</w:t>
      </w:r>
      <w:r w:rsidR="00010708" w:rsidRPr="00CF1995">
        <w:rPr>
          <w:i/>
        </w:rPr>
        <w:t>strative d</w:t>
      </w:r>
      <w:r w:rsidRPr="00CF1995">
        <w:rPr>
          <w:i/>
        </w:rPr>
        <w:t>ata</w:t>
      </w:r>
      <w:r w:rsidR="00010708" w:rsidRPr="00EB1AAA">
        <w:t>, Institute for Fiscal Studies</w:t>
      </w:r>
      <w:r w:rsidR="005A27F9">
        <w:t>,</w:t>
      </w:r>
      <w:r w:rsidR="005A27F9" w:rsidRPr="005A27F9">
        <w:t xml:space="preserve"> </w:t>
      </w:r>
      <w:r w:rsidR="005A27F9" w:rsidRPr="00EB1AAA">
        <w:t>London</w:t>
      </w:r>
      <w:r w:rsidR="00010708" w:rsidRPr="00EB1AAA">
        <w:t>.</w:t>
      </w:r>
    </w:p>
    <w:p w:rsidR="004C7039" w:rsidRDefault="004C7039" w:rsidP="00EB1AAA">
      <w:pPr>
        <w:pStyle w:val="References"/>
      </w:pPr>
      <w:proofErr w:type="spellStart"/>
      <w:r w:rsidRPr="00EB1AAA">
        <w:t>Daraganova</w:t>
      </w:r>
      <w:proofErr w:type="spellEnd"/>
      <w:r w:rsidRPr="00EB1AAA">
        <w:t>, G, Edwards</w:t>
      </w:r>
      <w:r w:rsidR="00790ED3">
        <w:t xml:space="preserve">, B &amp; </w:t>
      </w:r>
      <w:proofErr w:type="spellStart"/>
      <w:r w:rsidR="00790ED3">
        <w:t>Sipthorp</w:t>
      </w:r>
      <w:proofErr w:type="spellEnd"/>
      <w:r w:rsidR="00790ED3">
        <w:t>, M</w:t>
      </w:r>
      <w:r w:rsidR="00351AA5">
        <w:t xml:space="preserve"> </w:t>
      </w:r>
      <w:r w:rsidR="00790ED3">
        <w:t>201</w:t>
      </w:r>
      <w:r w:rsidR="009749A6">
        <w:t>3</w:t>
      </w:r>
      <w:r w:rsidRPr="00213448">
        <w:t xml:space="preserve">, </w:t>
      </w:r>
      <w:r w:rsidRPr="00CF1995">
        <w:rPr>
          <w:i/>
        </w:rPr>
        <w:t>Usi</w:t>
      </w:r>
      <w:r w:rsidR="005A27F9">
        <w:rPr>
          <w:i/>
        </w:rPr>
        <w:t>ng National Assessment Program —</w:t>
      </w:r>
      <w:r w:rsidRPr="00CF1995">
        <w:rPr>
          <w:i/>
        </w:rPr>
        <w:t xml:space="preserve"> Literacy and Numeracy (NAPLAN) data in the Longitudinal Study of Australian Children (LSAC)</w:t>
      </w:r>
      <w:r w:rsidR="005A27F9">
        <w:t>,</w:t>
      </w:r>
      <w:r w:rsidR="009749A6">
        <w:t xml:space="preserve"> Department</w:t>
      </w:r>
      <w:r w:rsidR="009749A6" w:rsidRPr="009749A6">
        <w:t xml:space="preserve"> of Families, Housing, Community Services and Indigenous Affairs</w:t>
      </w:r>
      <w:r w:rsidR="005A27F9">
        <w:t>,</w:t>
      </w:r>
      <w:r w:rsidR="005A27F9" w:rsidRPr="005A27F9">
        <w:t xml:space="preserve"> </w:t>
      </w:r>
      <w:r w:rsidR="005A27F9">
        <w:t>Canberra</w:t>
      </w:r>
      <w:r w:rsidR="009749A6">
        <w:t>.</w:t>
      </w:r>
    </w:p>
    <w:p w:rsidR="00C56269" w:rsidRDefault="00C56269" w:rsidP="00C56269">
      <w:pPr>
        <w:pStyle w:val="References"/>
      </w:pPr>
      <w:proofErr w:type="spellStart"/>
      <w:r>
        <w:t>D’</w:t>
      </w:r>
      <w:r w:rsidR="005A27F9">
        <w:t>Orazio</w:t>
      </w:r>
      <w:proofErr w:type="spellEnd"/>
      <w:r w:rsidR="005A27F9">
        <w:t xml:space="preserve">, M, Di </w:t>
      </w:r>
      <w:proofErr w:type="spellStart"/>
      <w:r w:rsidR="005A27F9">
        <w:t>Zio</w:t>
      </w:r>
      <w:proofErr w:type="spellEnd"/>
      <w:r w:rsidR="005A27F9">
        <w:t xml:space="preserve">, M &amp; </w:t>
      </w:r>
      <w:proofErr w:type="spellStart"/>
      <w:r w:rsidR="005A27F9">
        <w:t>Scanu</w:t>
      </w:r>
      <w:proofErr w:type="spellEnd"/>
      <w:r w:rsidR="005A27F9">
        <w:t>, M</w:t>
      </w:r>
      <w:r>
        <w:t xml:space="preserve"> 2003,</w:t>
      </w:r>
      <w:r w:rsidRPr="00C56269">
        <w:t xml:space="preserve"> </w:t>
      </w:r>
      <w:r w:rsidRPr="00C56269">
        <w:rPr>
          <w:i/>
        </w:rPr>
        <w:t>Statistical matching and the likelihood principle: uncertainty and logical constraints</w:t>
      </w:r>
      <w:r w:rsidR="00FD2140">
        <w:t>,</w:t>
      </w:r>
      <w:r w:rsidR="00FD2140">
        <w:rPr>
          <w:iCs/>
        </w:rPr>
        <w:t xml:space="preserve"> </w:t>
      </w:r>
      <w:r w:rsidRPr="00C56269">
        <w:rPr>
          <w:iCs/>
        </w:rPr>
        <w:t>Italian National Statistical Institute</w:t>
      </w:r>
      <w:r w:rsidR="00FD2140">
        <w:rPr>
          <w:iCs/>
        </w:rPr>
        <w:t>,</w:t>
      </w:r>
      <w:r w:rsidR="00FD2140" w:rsidRPr="00FD2140">
        <w:rPr>
          <w:iCs/>
        </w:rPr>
        <w:t xml:space="preserve"> </w:t>
      </w:r>
      <w:r w:rsidR="00FD2140" w:rsidRPr="00C56269">
        <w:rPr>
          <w:iCs/>
        </w:rPr>
        <w:t>Rome</w:t>
      </w:r>
      <w:r w:rsidRPr="00C56269">
        <w:t>.</w:t>
      </w:r>
    </w:p>
    <w:p w:rsidR="007F32CB" w:rsidRPr="007F32CB" w:rsidRDefault="007F32CB" w:rsidP="007F32CB">
      <w:pPr>
        <w:pStyle w:val="References"/>
      </w:pPr>
      <w:bookmarkStart w:id="69" w:name="_ENREF_14"/>
      <w:r>
        <w:t>Edwards, B &amp;</w:t>
      </w:r>
      <w:r w:rsidRPr="007F32CB">
        <w:t xml:space="preserve"> Bromfield</w:t>
      </w:r>
      <w:r w:rsidR="00FD2140">
        <w:t>, BM</w:t>
      </w:r>
      <w:r>
        <w:t xml:space="preserve"> 2009, </w:t>
      </w:r>
      <w:r w:rsidR="00FD2140">
        <w:t>‘</w:t>
      </w:r>
      <w:proofErr w:type="spellStart"/>
      <w:r w:rsidRPr="007F32CB">
        <w:t>Neighborhood</w:t>
      </w:r>
      <w:proofErr w:type="spellEnd"/>
      <w:r w:rsidRPr="007F32CB">
        <w:t xml:space="preserve"> influences on young children</w:t>
      </w:r>
      <w:r w:rsidR="002C1E23">
        <w:t>’</w:t>
      </w:r>
      <w:r w:rsidRPr="007F32CB">
        <w:t>s conduct pro</w:t>
      </w:r>
      <w:r>
        <w:t xml:space="preserve">blems and pro-social </w:t>
      </w:r>
      <w:proofErr w:type="spellStart"/>
      <w:r>
        <w:t>behavior</w:t>
      </w:r>
      <w:proofErr w:type="spellEnd"/>
      <w:r>
        <w:t>: e</w:t>
      </w:r>
      <w:r w:rsidRPr="007F32CB">
        <w:t>vidence from</w:t>
      </w:r>
      <w:r>
        <w:t xml:space="preserve"> an Australian national sample</w:t>
      </w:r>
      <w:r w:rsidR="00FD2140">
        <w:t>’</w:t>
      </w:r>
      <w:r>
        <w:t>,</w:t>
      </w:r>
      <w:r w:rsidRPr="007F32CB">
        <w:t xml:space="preserve"> </w:t>
      </w:r>
      <w:r w:rsidRPr="007F32CB">
        <w:rPr>
          <w:i/>
        </w:rPr>
        <w:t>Children and Youth Services Review</w:t>
      </w:r>
      <w:r w:rsidRPr="00FD2140">
        <w:t xml:space="preserve">, </w:t>
      </w:r>
      <w:r w:rsidR="00FD2140">
        <w:t>vol.</w:t>
      </w:r>
      <w:r w:rsidRPr="00FD2140">
        <w:t>31</w:t>
      </w:r>
      <w:r w:rsidRPr="00FD2140">
        <w:rPr>
          <w:b/>
        </w:rPr>
        <w:t>,</w:t>
      </w:r>
      <w:r w:rsidRPr="007F32CB">
        <w:t xml:space="preserve"> </w:t>
      </w:r>
      <w:r w:rsidR="0026179F">
        <w:t xml:space="preserve">no.3, </w:t>
      </w:r>
      <w:r w:rsidR="00FD2140">
        <w:t>pp.317—</w:t>
      </w:r>
      <w:r w:rsidRPr="007F32CB">
        <w:t>24.</w:t>
      </w:r>
      <w:bookmarkEnd w:id="69"/>
    </w:p>
    <w:p w:rsidR="00011184" w:rsidRDefault="00011184" w:rsidP="004C7039">
      <w:pPr>
        <w:pStyle w:val="References"/>
      </w:pPr>
      <w:r>
        <w:t>Gemici</w:t>
      </w:r>
      <w:r w:rsidR="00FD2140">
        <w:t>, S, Bednarz, A &amp; Lim, P</w:t>
      </w:r>
      <w:r w:rsidR="003177D4">
        <w:t xml:space="preserve"> 2011, </w:t>
      </w:r>
      <w:r w:rsidR="00B1086D" w:rsidRPr="00B1086D">
        <w:rPr>
          <w:i/>
        </w:rPr>
        <w:t>Getting tough on missing data: a boot camp for social science researchers</w:t>
      </w:r>
      <w:r w:rsidR="00B1086D">
        <w:t>, NCVER</w:t>
      </w:r>
      <w:r w:rsidR="00FD2140">
        <w:t>,</w:t>
      </w:r>
      <w:r w:rsidR="00FD2140" w:rsidRPr="00FD2140">
        <w:t xml:space="preserve"> </w:t>
      </w:r>
      <w:r w:rsidR="00FD2140">
        <w:t>Adelaide</w:t>
      </w:r>
      <w:r w:rsidR="00B1086D">
        <w:t>.</w:t>
      </w:r>
    </w:p>
    <w:p w:rsidR="00AA1152" w:rsidRPr="00213448" w:rsidRDefault="00AA1152" w:rsidP="004C7039">
      <w:pPr>
        <w:pStyle w:val="References"/>
      </w:pPr>
      <w:r w:rsidRPr="00213448">
        <w:t xml:space="preserve">George, RM &amp; Lee, BJ, 2002, </w:t>
      </w:r>
      <w:r w:rsidR="00FD2140">
        <w:t>‘</w:t>
      </w:r>
      <w:r w:rsidRPr="00213448">
        <w:t>Matching and cleaning administrative data</w:t>
      </w:r>
      <w:r w:rsidR="00FD2140">
        <w:t>’</w:t>
      </w:r>
      <w:r w:rsidRPr="00213448">
        <w:t xml:space="preserve">, in </w:t>
      </w:r>
      <w:r w:rsidRPr="00213448">
        <w:rPr>
          <w:i/>
        </w:rPr>
        <w:t>Studies of welfare populations: data collection and research issues</w:t>
      </w:r>
      <w:r w:rsidR="00FD2140">
        <w:t xml:space="preserve">, </w:t>
      </w:r>
      <w:proofErr w:type="spellStart"/>
      <w:r w:rsidR="002C1E23">
        <w:t>eds</w:t>
      </w:r>
      <w:proofErr w:type="spellEnd"/>
      <w:r w:rsidR="002C1E23">
        <w:t xml:space="preserve"> </w:t>
      </w:r>
      <w:r w:rsidR="002C1E23" w:rsidRPr="00213448">
        <w:t>MV</w:t>
      </w:r>
      <w:r w:rsidR="002C1E23">
        <w:t xml:space="preserve"> </w:t>
      </w:r>
      <w:proofErr w:type="spellStart"/>
      <w:r w:rsidR="002C1E23">
        <w:t>Ploeg</w:t>
      </w:r>
      <w:proofErr w:type="spellEnd"/>
      <w:r w:rsidR="002C1E23">
        <w:t xml:space="preserve">, RA Moffitt &amp; CF </w:t>
      </w:r>
      <w:proofErr w:type="spellStart"/>
      <w:r w:rsidR="002C1E23">
        <w:t>Citro</w:t>
      </w:r>
      <w:proofErr w:type="spellEnd"/>
      <w:r w:rsidR="002C1E23">
        <w:t xml:space="preserve">, </w:t>
      </w:r>
      <w:r w:rsidR="00FD2140">
        <w:t>National Academy Press,</w:t>
      </w:r>
      <w:r w:rsidR="00FD2140" w:rsidRPr="00FD2140">
        <w:t xml:space="preserve"> </w:t>
      </w:r>
      <w:r w:rsidR="00FD2140" w:rsidRPr="00213448">
        <w:t>Washington, DC</w:t>
      </w:r>
      <w:r w:rsidR="00FD2140">
        <w:t>.</w:t>
      </w:r>
    </w:p>
    <w:p w:rsidR="00EF5829" w:rsidRPr="00213448" w:rsidRDefault="00FD2140" w:rsidP="00EF5829">
      <w:pPr>
        <w:pStyle w:val="References"/>
      </w:pPr>
      <w:r>
        <w:t>Gregory, T</w:t>
      </w:r>
      <w:r w:rsidR="00EF5829" w:rsidRPr="00213448">
        <w:t xml:space="preserve"> 2012, </w:t>
      </w:r>
      <w:r>
        <w:t>‘</w:t>
      </w:r>
      <w:r w:rsidR="00EF5829" w:rsidRPr="00FD2140">
        <w:t>Early development index (EDI) at age 5 predicts reading and numeracy skills three to seven years later</w:t>
      </w:r>
      <w:r>
        <w:t>’</w:t>
      </w:r>
      <w:r w:rsidR="00EF5829" w:rsidRPr="00FD2140">
        <w:t>,</w:t>
      </w:r>
      <w:r>
        <w:t xml:space="preserve"> p</w:t>
      </w:r>
      <w:r w:rsidR="00EF5829" w:rsidRPr="00213448">
        <w:t xml:space="preserve">aper presented at the 2012 International Data Linkage Conference, Perth, </w:t>
      </w:r>
      <w:r w:rsidR="0026179F">
        <w:t xml:space="preserve">viewed 5 December 2012, </w:t>
      </w:r>
      <w:r>
        <w:t>&lt;</w:t>
      </w:r>
      <w:r w:rsidR="00EF5829" w:rsidRPr="00213448">
        <w:t>http://datalinkage2012.com.au/program/presentations/gregory.pdf</w:t>
      </w:r>
      <w:r>
        <w:t>&gt;.</w:t>
      </w:r>
    </w:p>
    <w:p w:rsidR="00EF3A85" w:rsidRDefault="00FD2140" w:rsidP="004C7039">
      <w:pPr>
        <w:pStyle w:val="References"/>
      </w:pPr>
      <w:r>
        <w:t>Hoffmann, E</w:t>
      </w:r>
      <w:r w:rsidR="00EF3A85" w:rsidRPr="00213448">
        <w:t xml:space="preserve"> 1995, </w:t>
      </w:r>
      <w:r>
        <w:t>‘</w:t>
      </w:r>
      <w:r w:rsidR="00EF3A85" w:rsidRPr="00213448">
        <w:t>We must use administrative d</w:t>
      </w:r>
      <w:r>
        <w:t>ata for official statistics —</w:t>
      </w:r>
      <w:r w:rsidR="00EF3A85" w:rsidRPr="00213448">
        <w:t xml:space="preserve"> but how should we</w:t>
      </w:r>
      <w:r w:rsidR="00351AA5">
        <w:t xml:space="preserve"> use them?</w:t>
      </w:r>
      <w:proofErr w:type="gramStart"/>
      <w:r>
        <w:t>’</w:t>
      </w:r>
      <w:r w:rsidR="002C1E23">
        <w:t>,</w:t>
      </w:r>
      <w:proofErr w:type="gramEnd"/>
      <w:r w:rsidR="00EF3A85" w:rsidRPr="00213448">
        <w:t xml:space="preserve"> </w:t>
      </w:r>
      <w:r w:rsidR="00EF3A85" w:rsidRPr="00213448">
        <w:rPr>
          <w:i/>
        </w:rPr>
        <w:t>Statistical Journal of the United Nations Economic Commission for Europe</w:t>
      </w:r>
      <w:r w:rsidR="00EF3A85" w:rsidRPr="00FD2140">
        <w:t xml:space="preserve">, </w:t>
      </w:r>
      <w:r>
        <w:t>vol.</w:t>
      </w:r>
      <w:r w:rsidR="00EF3A85" w:rsidRPr="00FD2140">
        <w:t>12,</w:t>
      </w:r>
      <w:r w:rsidR="00EF3A85" w:rsidRPr="00213448">
        <w:t xml:space="preserve"> </w:t>
      </w:r>
      <w:r>
        <w:t>pp.41—</w:t>
      </w:r>
      <w:r w:rsidR="00EF3A85" w:rsidRPr="00213448">
        <w:t>8.</w:t>
      </w:r>
    </w:p>
    <w:p w:rsidR="00887DFE" w:rsidRPr="00887DFE" w:rsidRDefault="00887DFE" w:rsidP="00887DFE">
      <w:pPr>
        <w:pStyle w:val="References"/>
        <w:rPr>
          <w:bCs/>
          <w:lang w:val="en-US"/>
        </w:rPr>
      </w:pPr>
      <w:r>
        <w:rPr>
          <w:bCs/>
          <w:lang w:val="en-US"/>
        </w:rPr>
        <w:t xml:space="preserve">Heckman, JJ, </w:t>
      </w:r>
      <w:proofErr w:type="spellStart"/>
      <w:r>
        <w:rPr>
          <w:bCs/>
          <w:lang w:val="en-US"/>
        </w:rPr>
        <w:t>Ichimura</w:t>
      </w:r>
      <w:proofErr w:type="spellEnd"/>
      <w:r>
        <w:rPr>
          <w:bCs/>
          <w:lang w:val="en-US"/>
        </w:rPr>
        <w:t>, H</w:t>
      </w:r>
      <w:r w:rsidRPr="00887DFE">
        <w:rPr>
          <w:bCs/>
          <w:lang w:val="en-US"/>
        </w:rPr>
        <w:t xml:space="preserve"> &amp; Todd</w:t>
      </w:r>
      <w:r w:rsidR="00FD2140">
        <w:rPr>
          <w:bCs/>
          <w:lang w:val="en-US"/>
        </w:rPr>
        <w:t>, P</w:t>
      </w:r>
      <w:r>
        <w:rPr>
          <w:bCs/>
          <w:lang w:val="en-US"/>
        </w:rPr>
        <w:t xml:space="preserve"> 1997,</w:t>
      </w:r>
      <w:r w:rsidRPr="00887DFE">
        <w:rPr>
          <w:bCs/>
          <w:lang w:val="en-US"/>
        </w:rPr>
        <w:t xml:space="preserve"> </w:t>
      </w:r>
      <w:r w:rsidR="00FD2140">
        <w:rPr>
          <w:bCs/>
          <w:lang w:val="en-US"/>
        </w:rPr>
        <w:t>‘</w:t>
      </w:r>
      <w:r w:rsidRPr="00887DFE">
        <w:rPr>
          <w:bCs/>
          <w:lang w:val="en-US"/>
        </w:rPr>
        <w:t>Matching as an eco</w:t>
      </w:r>
      <w:r>
        <w:rPr>
          <w:bCs/>
          <w:lang w:val="en-US"/>
        </w:rPr>
        <w:t>nometric evaluation estimator: e</w:t>
      </w:r>
      <w:r w:rsidRPr="00887DFE">
        <w:rPr>
          <w:bCs/>
          <w:lang w:val="en-US"/>
        </w:rPr>
        <w:t>vidence from eval</w:t>
      </w:r>
      <w:r>
        <w:rPr>
          <w:bCs/>
          <w:lang w:val="en-US"/>
        </w:rPr>
        <w:t xml:space="preserve">uating a job training </w:t>
      </w:r>
      <w:proofErr w:type="spellStart"/>
      <w:r>
        <w:rPr>
          <w:bCs/>
          <w:lang w:val="en-US"/>
        </w:rPr>
        <w:t>programme</w:t>
      </w:r>
      <w:proofErr w:type="spellEnd"/>
      <w:r w:rsidR="00FD2140">
        <w:rPr>
          <w:bCs/>
          <w:lang w:val="en-US"/>
        </w:rPr>
        <w:t>’</w:t>
      </w:r>
      <w:r>
        <w:rPr>
          <w:bCs/>
          <w:lang w:val="en-US"/>
        </w:rPr>
        <w:t>,</w:t>
      </w:r>
      <w:r w:rsidRPr="00887DFE">
        <w:rPr>
          <w:bCs/>
          <w:lang w:val="en-US"/>
        </w:rPr>
        <w:t xml:space="preserve"> </w:t>
      </w:r>
      <w:r w:rsidRPr="00887DFE">
        <w:rPr>
          <w:bCs/>
          <w:i/>
          <w:lang w:val="en-US"/>
        </w:rPr>
        <w:t>Review of Economic Studies</w:t>
      </w:r>
      <w:r w:rsidRPr="00FD2140">
        <w:rPr>
          <w:bCs/>
          <w:lang w:val="en-US"/>
        </w:rPr>
        <w:t xml:space="preserve">, </w:t>
      </w:r>
      <w:r w:rsidR="00FD2140">
        <w:rPr>
          <w:bCs/>
          <w:lang w:val="en-US"/>
        </w:rPr>
        <w:t>vol.</w:t>
      </w:r>
      <w:r w:rsidRPr="00FD2140">
        <w:rPr>
          <w:bCs/>
          <w:lang w:val="en-US"/>
        </w:rPr>
        <w:t>64,</w:t>
      </w:r>
      <w:r w:rsidRPr="00887DFE">
        <w:rPr>
          <w:bCs/>
          <w:lang w:val="en-US"/>
        </w:rPr>
        <w:t xml:space="preserve"> </w:t>
      </w:r>
      <w:r w:rsidR="0026179F">
        <w:rPr>
          <w:bCs/>
          <w:lang w:val="en-US"/>
        </w:rPr>
        <w:t xml:space="preserve">no.4, </w:t>
      </w:r>
      <w:r w:rsidR="00FD2140">
        <w:rPr>
          <w:bCs/>
          <w:lang w:val="en-US"/>
        </w:rPr>
        <w:t>pp.605—</w:t>
      </w:r>
      <w:r w:rsidRPr="00887DFE">
        <w:rPr>
          <w:bCs/>
          <w:lang w:val="en-US"/>
        </w:rPr>
        <w:t>54.</w:t>
      </w:r>
    </w:p>
    <w:p w:rsidR="008E6B2D" w:rsidRPr="00213448" w:rsidRDefault="007F6524" w:rsidP="008E6B2D">
      <w:pPr>
        <w:pStyle w:val="References"/>
        <w:rPr>
          <w:bCs/>
        </w:rPr>
      </w:pPr>
      <w:hyperlink r:id="rId14" w:history="1">
        <w:r w:rsidR="008E6B2D" w:rsidRPr="00213448">
          <w:rPr>
            <w:rStyle w:val="Hyperlink"/>
            <w:sz w:val="18"/>
          </w:rPr>
          <w:t>Jenkins</w:t>
        </w:r>
      </w:hyperlink>
      <w:r w:rsidR="008E6B2D" w:rsidRPr="00213448">
        <w:t xml:space="preserve">, SP, </w:t>
      </w:r>
      <w:hyperlink r:id="rId15" w:history="1">
        <w:r w:rsidR="008E6B2D" w:rsidRPr="00213448">
          <w:rPr>
            <w:rStyle w:val="Hyperlink"/>
            <w:sz w:val="18"/>
          </w:rPr>
          <w:t>Lynn</w:t>
        </w:r>
      </w:hyperlink>
      <w:r w:rsidR="008E6B2D" w:rsidRPr="00213448">
        <w:t xml:space="preserve">, P, </w:t>
      </w:r>
      <w:hyperlink r:id="rId16" w:history="1">
        <w:proofErr w:type="spellStart"/>
        <w:r w:rsidR="008E6B2D" w:rsidRPr="00213448">
          <w:rPr>
            <w:rStyle w:val="Hyperlink"/>
            <w:sz w:val="18"/>
          </w:rPr>
          <w:t>Jäckle</w:t>
        </w:r>
        <w:proofErr w:type="spellEnd"/>
      </w:hyperlink>
      <w:r w:rsidR="008E6B2D" w:rsidRPr="00213448">
        <w:t xml:space="preserve">, A &amp; </w:t>
      </w:r>
      <w:hyperlink r:id="rId17" w:history="1">
        <w:proofErr w:type="spellStart"/>
        <w:r w:rsidR="008E6B2D" w:rsidRPr="00213448">
          <w:rPr>
            <w:rStyle w:val="Hyperlink"/>
            <w:sz w:val="18"/>
          </w:rPr>
          <w:t>Sala</w:t>
        </w:r>
        <w:proofErr w:type="spellEnd"/>
      </w:hyperlink>
      <w:r w:rsidR="00FD2140">
        <w:t>, E</w:t>
      </w:r>
      <w:r w:rsidR="008E6B2D" w:rsidRPr="00213448">
        <w:t xml:space="preserve"> 2008, </w:t>
      </w:r>
      <w:r w:rsidR="00FD2140">
        <w:t>‘</w:t>
      </w:r>
      <w:r w:rsidR="008E6B2D" w:rsidRPr="00213448">
        <w:rPr>
          <w:bCs/>
        </w:rPr>
        <w:t>The feasibility of linking household survey and administrative record data: new evidence for Britain</w:t>
      </w:r>
      <w:r w:rsidR="00FD2140">
        <w:rPr>
          <w:bCs/>
        </w:rPr>
        <w:t>’</w:t>
      </w:r>
      <w:r w:rsidR="008E6B2D" w:rsidRPr="00213448">
        <w:rPr>
          <w:bCs/>
        </w:rPr>
        <w:t xml:space="preserve">, </w:t>
      </w:r>
      <w:r w:rsidR="008E6B2D" w:rsidRPr="00213448">
        <w:rPr>
          <w:bCs/>
          <w:i/>
        </w:rPr>
        <w:t>International Journal of Social Research Methodology</w:t>
      </w:r>
      <w:r w:rsidR="008E6B2D" w:rsidRPr="00FD2140">
        <w:rPr>
          <w:bCs/>
        </w:rPr>
        <w:t xml:space="preserve">, </w:t>
      </w:r>
      <w:r w:rsidR="00FD2140">
        <w:rPr>
          <w:bCs/>
        </w:rPr>
        <w:t>vol.</w:t>
      </w:r>
      <w:r w:rsidR="008E6B2D" w:rsidRPr="00FD2140">
        <w:rPr>
          <w:bCs/>
        </w:rPr>
        <w:t>11,</w:t>
      </w:r>
      <w:r w:rsidR="008E6B2D" w:rsidRPr="00213448">
        <w:rPr>
          <w:bCs/>
        </w:rPr>
        <w:t xml:space="preserve"> </w:t>
      </w:r>
      <w:r w:rsidR="0026179F">
        <w:rPr>
          <w:bCs/>
        </w:rPr>
        <w:t xml:space="preserve">no.4, </w:t>
      </w:r>
      <w:r w:rsidR="00FD2140">
        <w:rPr>
          <w:bCs/>
        </w:rPr>
        <w:t>pp.29—</w:t>
      </w:r>
      <w:r w:rsidR="008E6B2D" w:rsidRPr="00213448">
        <w:rPr>
          <w:bCs/>
        </w:rPr>
        <w:t>43.</w:t>
      </w:r>
    </w:p>
    <w:p w:rsidR="00D5024E" w:rsidRDefault="0038457F" w:rsidP="00D5024E">
      <w:pPr>
        <w:pStyle w:val="References"/>
        <w:rPr>
          <w:bCs/>
        </w:rPr>
      </w:pPr>
      <w:r>
        <w:lastRenderedPageBreak/>
        <w:t xml:space="preserve">Jenkins, SP &amp; </w:t>
      </w:r>
      <w:proofErr w:type="spellStart"/>
      <w:r>
        <w:t>S</w:t>
      </w:r>
      <w:r w:rsidR="00D5024E" w:rsidRPr="00213448">
        <w:t>i</w:t>
      </w:r>
      <w:r>
        <w:t>e</w:t>
      </w:r>
      <w:r w:rsidR="00FD2140">
        <w:t>dler</w:t>
      </w:r>
      <w:proofErr w:type="spellEnd"/>
      <w:r w:rsidR="00FD2140">
        <w:t>, T</w:t>
      </w:r>
      <w:r w:rsidR="00D5024E" w:rsidRPr="00213448">
        <w:t xml:space="preserve"> 2007, </w:t>
      </w:r>
      <w:proofErr w:type="gramStart"/>
      <w:r w:rsidR="00D5024E" w:rsidRPr="00213448">
        <w:rPr>
          <w:i/>
        </w:rPr>
        <w:t>Using</w:t>
      </w:r>
      <w:proofErr w:type="gramEnd"/>
      <w:r w:rsidR="00D5024E" w:rsidRPr="00213448">
        <w:rPr>
          <w:i/>
        </w:rPr>
        <w:t xml:space="preserve"> household panel data to understand the intergenerational transmission of poverty</w:t>
      </w:r>
      <w:r w:rsidR="00D5024E" w:rsidRPr="00213448">
        <w:t>, University of Essex</w:t>
      </w:r>
      <w:r w:rsidR="005A27F9">
        <w:t>,</w:t>
      </w:r>
      <w:r w:rsidR="00D5024E" w:rsidRPr="00213448">
        <w:t xml:space="preserve"> </w:t>
      </w:r>
      <w:r w:rsidR="00D5024E" w:rsidRPr="00213448">
        <w:rPr>
          <w:bCs/>
        </w:rPr>
        <w:t>Institute for Social and Economic Research.</w:t>
      </w:r>
    </w:p>
    <w:p w:rsidR="00D86552" w:rsidRPr="00D86552" w:rsidRDefault="00D86552" w:rsidP="00D86552">
      <w:pPr>
        <w:pStyle w:val="References"/>
        <w:rPr>
          <w:bCs/>
        </w:rPr>
      </w:pPr>
      <w:bookmarkStart w:id="70" w:name="_ENREF_20"/>
      <w:r>
        <w:rPr>
          <w:bCs/>
        </w:rPr>
        <w:t xml:space="preserve">Jensen, B &amp; </w:t>
      </w:r>
      <w:r w:rsidRPr="00D86552">
        <w:rPr>
          <w:bCs/>
        </w:rPr>
        <w:t>Harris</w:t>
      </w:r>
      <w:r w:rsidR="00FD2140">
        <w:rPr>
          <w:bCs/>
        </w:rPr>
        <w:t>, MN</w:t>
      </w:r>
      <w:r>
        <w:rPr>
          <w:bCs/>
        </w:rPr>
        <w:t xml:space="preserve"> 2008, </w:t>
      </w:r>
      <w:r w:rsidR="00FD2140">
        <w:rPr>
          <w:bCs/>
        </w:rPr>
        <w:t>‘</w:t>
      </w:r>
      <w:r>
        <w:rPr>
          <w:bCs/>
        </w:rPr>
        <w:t>Neighbourhood measures: q</w:t>
      </w:r>
      <w:r w:rsidRPr="00D86552">
        <w:rPr>
          <w:bCs/>
        </w:rPr>
        <w:t xml:space="preserve">uantifying the effects </w:t>
      </w:r>
      <w:r w:rsidR="00FD2140">
        <w:rPr>
          <w:bCs/>
        </w:rPr>
        <w:t>of neighbourhood externalities’,</w:t>
      </w:r>
      <w:r w:rsidRPr="00D86552">
        <w:rPr>
          <w:bCs/>
        </w:rPr>
        <w:t xml:space="preserve"> </w:t>
      </w:r>
      <w:r w:rsidRPr="00D86552">
        <w:rPr>
          <w:bCs/>
          <w:i/>
        </w:rPr>
        <w:t>Economic Record</w:t>
      </w:r>
      <w:r w:rsidRPr="00FD2140">
        <w:rPr>
          <w:bCs/>
        </w:rPr>
        <w:t xml:space="preserve">, </w:t>
      </w:r>
      <w:r w:rsidR="00FD2140">
        <w:rPr>
          <w:bCs/>
        </w:rPr>
        <w:t>vol.</w:t>
      </w:r>
      <w:r w:rsidRPr="00FD2140">
        <w:rPr>
          <w:bCs/>
        </w:rPr>
        <w:t>84,</w:t>
      </w:r>
      <w:r w:rsidRPr="00D86552">
        <w:rPr>
          <w:bCs/>
        </w:rPr>
        <w:t xml:space="preserve"> </w:t>
      </w:r>
      <w:r w:rsidR="0026179F">
        <w:rPr>
          <w:bCs/>
        </w:rPr>
        <w:t xml:space="preserve">no.264, </w:t>
      </w:r>
      <w:r w:rsidR="00FD2140">
        <w:rPr>
          <w:bCs/>
        </w:rPr>
        <w:t>pp.68—</w:t>
      </w:r>
      <w:r w:rsidRPr="00D86552">
        <w:rPr>
          <w:bCs/>
        </w:rPr>
        <w:t>81.</w:t>
      </w:r>
      <w:bookmarkEnd w:id="70"/>
    </w:p>
    <w:p w:rsidR="00CE424D" w:rsidRPr="00213448" w:rsidRDefault="00CE424D" w:rsidP="004C7039">
      <w:pPr>
        <w:pStyle w:val="References"/>
      </w:pPr>
      <w:proofErr w:type="spellStart"/>
      <w:r w:rsidRPr="00213448">
        <w:t>Jut</w:t>
      </w:r>
      <w:r w:rsidR="00D5024E" w:rsidRPr="00213448">
        <w:t>t</w:t>
      </w:r>
      <w:r w:rsidRPr="00213448">
        <w:t>e</w:t>
      </w:r>
      <w:proofErr w:type="spellEnd"/>
      <w:r w:rsidRPr="00213448">
        <w:t xml:space="preserve">, DP, Brownell, M, </w:t>
      </w:r>
      <w:proofErr w:type="spellStart"/>
      <w:r w:rsidRPr="00213448">
        <w:t>Roos</w:t>
      </w:r>
      <w:proofErr w:type="spellEnd"/>
      <w:r w:rsidRPr="00213448">
        <w:t xml:space="preserve">, NP, </w:t>
      </w:r>
      <w:proofErr w:type="spellStart"/>
      <w:r w:rsidRPr="00213448">
        <w:t>Schippers</w:t>
      </w:r>
      <w:proofErr w:type="spellEnd"/>
      <w:r w:rsidRPr="00213448">
        <w:t xml:space="preserve">, C, Boyce, WT &amp; </w:t>
      </w:r>
      <w:proofErr w:type="spellStart"/>
      <w:r w:rsidRPr="00213448">
        <w:t>Syme</w:t>
      </w:r>
      <w:proofErr w:type="spellEnd"/>
      <w:r w:rsidRPr="00213448">
        <w:t>, SL 2</w:t>
      </w:r>
      <w:r w:rsidR="00FD2140">
        <w:t>010</w:t>
      </w:r>
      <w:r w:rsidRPr="00213448">
        <w:t xml:space="preserve">, </w:t>
      </w:r>
      <w:r w:rsidR="00FD2140">
        <w:t>‘</w:t>
      </w:r>
      <w:r w:rsidRPr="00213448">
        <w:t>Rethinking what is important: biologic versus social predictors of childhood health and educational outcomes</w:t>
      </w:r>
      <w:r w:rsidR="00FD2140">
        <w:t>’</w:t>
      </w:r>
      <w:r w:rsidRPr="00213448">
        <w:t xml:space="preserve">, </w:t>
      </w:r>
      <w:r w:rsidRPr="00CF1995">
        <w:rPr>
          <w:i/>
        </w:rPr>
        <w:t>Epidemiology</w:t>
      </w:r>
      <w:r w:rsidRPr="00FD2140">
        <w:t xml:space="preserve">, </w:t>
      </w:r>
      <w:r w:rsidR="00FD2140">
        <w:t>vol.</w:t>
      </w:r>
      <w:r w:rsidRPr="00FD2140">
        <w:t>21,</w:t>
      </w:r>
      <w:r w:rsidRPr="00213448">
        <w:t xml:space="preserve"> </w:t>
      </w:r>
      <w:r w:rsidR="0026179F">
        <w:t xml:space="preserve">no.3, </w:t>
      </w:r>
      <w:r w:rsidR="001B36BD">
        <w:t>pp.314—</w:t>
      </w:r>
      <w:r w:rsidRPr="00213448">
        <w:t>23.</w:t>
      </w:r>
    </w:p>
    <w:p w:rsidR="006D09F6" w:rsidRPr="00213448" w:rsidRDefault="006D09F6" w:rsidP="006D09F6">
      <w:pPr>
        <w:pStyle w:val="References"/>
      </w:pPr>
      <w:proofErr w:type="spellStart"/>
      <w:proofErr w:type="gramStart"/>
      <w:r w:rsidRPr="00213448">
        <w:t>Jutte</w:t>
      </w:r>
      <w:proofErr w:type="spellEnd"/>
      <w:r w:rsidRPr="00213448">
        <w:t xml:space="preserve">, DP, </w:t>
      </w:r>
      <w:proofErr w:type="spellStart"/>
      <w:r w:rsidRPr="00213448">
        <w:t>Roos</w:t>
      </w:r>
      <w:proofErr w:type="spellEnd"/>
      <w:r w:rsidRPr="00213448">
        <w:t xml:space="preserve">, LL &amp; Brownell, MD 2011, </w:t>
      </w:r>
      <w:r>
        <w:t>‘</w:t>
      </w:r>
      <w:r w:rsidRPr="00213448">
        <w:t>Administrative record linkage as a tool for public health research</w:t>
      </w:r>
      <w:r>
        <w:t>’</w:t>
      </w:r>
      <w:r w:rsidRPr="00213448">
        <w:t xml:space="preserve">, </w:t>
      </w:r>
      <w:r w:rsidRPr="00CF1995">
        <w:rPr>
          <w:i/>
        </w:rPr>
        <w:t>Annual Review of Public Health</w:t>
      </w:r>
      <w:r w:rsidRPr="001B36BD">
        <w:t xml:space="preserve">, </w:t>
      </w:r>
      <w:r>
        <w:t>vol.</w:t>
      </w:r>
      <w:r w:rsidRPr="001B36BD">
        <w:t>32,</w:t>
      </w:r>
      <w:r w:rsidRPr="00213448">
        <w:t xml:space="preserve"> </w:t>
      </w:r>
      <w:r>
        <w:t>pp.91—</w:t>
      </w:r>
      <w:r w:rsidRPr="00213448">
        <w:t>108.</w:t>
      </w:r>
      <w:proofErr w:type="gramEnd"/>
    </w:p>
    <w:p w:rsidR="001B6A07" w:rsidRPr="00213448" w:rsidRDefault="001B6A07" w:rsidP="004C7039">
      <w:pPr>
        <w:pStyle w:val="References"/>
      </w:pPr>
      <w:proofErr w:type="spellStart"/>
      <w:r w:rsidRPr="00213448">
        <w:t>Jutte</w:t>
      </w:r>
      <w:proofErr w:type="spellEnd"/>
      <w:r w:rsidRPr="00213448">
        <w:t xml:space="preserve">, DP, </w:t>
      </w:r>
      <w:proofErr w:type="spellStart"/>
      <w:r w:rsidRPr="00213448">
        <w:t>Roos</w:t>
      </w:r>
      <w:proofErr w:type="spellEnd"/>
      <w:r w:rsidRPr="00213448">
        <w:t>, NP, Brownell, MD, Brig</w:t>
      </w:r>
      <w:r w:rsidR="001B36BD">
        <w:t xml:space="preserve">gs, G, </w:t>
      </w:r>
      <w:proofErr w:type="spellStart"/>
      <w:r w:rsidR="001B36BD">
        <w:t>MacWilliam</w:t>
      </w:r>
      <w:proofErr w:type="spellEnd"/>
      <w:r w:rsidR="001B36BD">
        <w:t xml:space="preserve">, L &amp; </w:t>
      </w:r>
      <w:proofErr w:type="spellStart"/>
      <w:r w:rsidR="001B36BD">
        <w:t>Roos</w:t>
      </w:r>
      <w:proofErr w:type="spellEnd"/>
      <w:r w:rsidR="001B36BD">
        <w:t>, LL 2010</w:t>
      </w:r>
      <w:r w:rsidRPr="00213448">
        <w:t xml:space="preserve">, </w:t>
      </w:r>
      <w:r w:rsidR="001B36BD">
        <w:t>‘</w:t>
      </w:r>
      <w:r w:rsidRPr="00213448">
        <w:t>The ripples of adolescent motherhood: social, educational, and medical outcomes for children of teen and prior teen mothers</w:t>
      </w:r>
      <w:r w:rsidR="001B36BD">
        <w:t>’</w:t>
      </w:r>
      <w:r w:rsidRPr="00213448">
        <w:t xml:space="preserve">, </w:t>
      </w:r>
      <w:r w:rsidRPr="00CF1995">
        <w:rPr>
          <w:i/>
        </w:rPr>
        <w:t xml:space="preserve">Academic </w:t>
      </w:r>
      <w:proofErr w:type="spellStart"/>
      <w:r w:rsidRPr="00CF1995">
        <w:rPr>
          <w:i/>
        </w:rPr>
        <w:t>Pediatrics</w:t>
      </w:r>
      <w:proofErr w:type="spellEnd"/>
      <w:r w:rsidRPr="001B36BD">
        <w:t xml:space="preserve">, </w:t>
      </w:r>
      <w:r w:rsidR="001B36BD">
        <w:t>vol.</w:t>
      </w:r>
      <w:r w:rsidRPr="001B36BD">
        <w:t>10,</w:t>
      </w:r>
      <w:r w:rsidRPr="00213448">
        <w:t xml:space="preserve"> </w:t>
      </w:r>
      <w:r w:rsidR="0026179F">
        <w:t xml:space="preserve">no.5, </w:t>
      </w:r>
      <w:r w:rsidR="001B36BD">
        <w:t>pp.293—</w:t>
      </w:r>
      <w:r w:rsidRPr="00213448">
        <w:t>301.</w:t>
      </w:r>
    </w:p>
    <w:p w:rsidR="00BE4416" w:rsidRPr="00213448" w:rsidRDefault="00BE4416" w:rsidP="00580E4C">
      <w:pPr>
        <w:pStyle w:val="References"/>
      </w:pPr>
      <w:proofErr w:type="spellStart"/>
      <w:r w:rsidRPr="00213448">
        <w:t>Kho</w:t>
      </w:r>
      <w:proofErr w:type="spellEnd"/>
      <w:r w:rsidR="001B36BD">
        <w:t>,</w:t>
      </w:r>
      <w:r w:rsidRPr="00213448">
        <w:t xml:space="preserve"> ME, </w:t>
      </w:r>
      <w:proofErr w:type="spellStart"/>
      <w:r w:rsidRPr="00213448">
        <w:t>Duffett</w:t>
      </w:r>
      <w:proofErr w:type="spellEnd"/>
      <w:r w:rsidR="001B36BD">
        <w:t>,</w:t>
      </w:r>
      <w:r w:rsidRPr="00213448">
        <w:t xml:space="preserve"> M, </w:t>
      </w:r>
      <w:proofErr w:type="spellStart"/>
      <w:r w:rsidRPr="00213448">
        <w:t>Willis</w:t>
      </w:r>
      <w:r w:rsidRPr="0026179F">
        <w:t>on</w:t>
      </w:r>
      <w:proofErr w:type="spellEnd"/>
      <w:r w:rsidR="001B36BD" w:rsidRPr="0026179F">
        <w:t>,</w:t>
      </w:r>
      <w:r w:rsidRPr="0026179F">
        <w:t xml:space="preserve"> DJ, Cook</w:t>
      </w:r>
      <w:r w:rsidR="001B36BD" w:rsidRPr="0026179F">
        <w:t>,</w:t>
      </w:r>
      <w:r w:rsidRPr="0026179F">
        <w:t xml:space="preserve"> DJ</w:t>
      </w:r>
      <w:r w:rsidR="001B36BD">
        <w:t xml:space="preserve"> </w:t>
      </w:r>
      <w:r w:rsidRPr="00213448">
        <w:t xml:space="preserve">&amp; </w:t>
      </w:r>
      <w:proofErr w:type="spellStart"/>
      <w:r w:rsidRPr="00213448">
        <w:t>Brouwers</w:t>
      </w:r>
      <w:proofErr w:type="spellEnd"/>
      <w:r w:rsidR="001B36BD">
        <w:t>, MC</w:t>
      </w:r>
      <w:r w:rsidRPr="00213448">
        <w:t xml:space="preserve"> 2009, </w:t>
      </w:r>
      <w:r w:rsidR="001B36BD">
        <w:t>‘</w:t>
      </w:r>
      <w:r w:rsidRPr="00213448">
        <w:t>Written informed consent and selection bias in observational studies using medical records: systematic review</w:t>
      </w:r>
      <w:r w:rsidR="001B36BD">
        <w:t>’</w:t>
      </w:r>
      <w:r w:rsidRPr="00213448">
        <w:t xml:space="preserve">, </w:t>
      </w:r>
      <w:r w:rsidRPr="00213448">
        <w:rPr>
          <w:i/>
        </w:rPr>
        <w:t>British Medical Journal</w:t>
      </w:r>
      <w:r w:rsidRPr="00213448">
        <w:t xml:space="preserve">, </w:t>
      </w:r>
      <w:r w:rsidR="00662285">
        <w:t>doi:</w:t>
      </w:r>
      <w:r w:rsidR="00580E4C" w:rsidRPr="00580E4C">
        <w:t>10.1136/bmj.b866</w:t>
      </w:r>
      <w:r w:rsidRPr="00613CC4">
        <w:t>.</w:t>
      </w:r>
    </w:p>
    <w:p w:rsidR="000A337C" w:rsidRPr="00213448" w:rsidRDefault="001B36BD" w:rsidP="004C7039">
      <w:pPr>
        <w:pStyle w:val="References"/>
      </w:pPr>
      <w:proofErr w:type="spellStart"/>
      <w:r>
        <w:t>Kiesl</w:t>
      </w:r>
      <w:proofErr w:type="spellEnd"/>
      <w:r>
        <w:t xml:space="preserve">, H &amp; </w:t>
      </w:r>
      <w:proofErr w:type="spellStart"/>
      <w:r>
        <w:t>Raessler</w:t>
      </w:r>
      <w:proofErr w:type="spellEnd"/>
      <w:r>
        <w:t>, S</w:t>
      </w:r>
      <w:r w:rsidR="000A337C" w:rsidRPr="00213448">
        <w:t xml:space="preserve"> 2006, </w:t>
      </w:r>
      <w:r w:rsidR="000A337C" w:rsidRPr="00CF1995">
        <w:rPr>
          <w:i/>
        </w:rPr>
        <w:t>Ho</w:t>
      </w:r>
      <w:r w:rsidR="00DE2D5E" w:rsidRPr="00CF1995">
        <w:rPr>
          <w:i/>
        </w:rPr>
        <w:t>w valid can data fusion be?</w:t>
      </w:r>
      <w:r>
        <w:t>,</w:t>
      </w:r>
      <w:r w:rsidR="000A337C" w:rsidRPr="00213448">
        <w:t xml:space="preserve"> Institute for Employment Research of the Federal Employment Services, </w:t>
      </w:r>
      <w:proofErr w:type="spellStart"/>
      <w:r w:rsidRPr="00213448">
        <w:t>Nürnberg</w:t>
      </w:r>
      <w:proofErr w:type="spellEnd"/>
      <w:r w:rsidRPr="00213448">
        <w:t>, Germany</w:t>
      </w:r>
      <w:r>
        <w:t xml:space="preserve">, </w:t>
      </w:r>
      <w:r w:rsidRPr="0026179F">
        <w:t xml:space="preserve">viewed </w:t>
      </w:r>
      <w:r w:rsidR="0026179F">
        <w:t>16 November 2012</w:t>
      </w:r>
      <w:r w:rsidR="002C1E23">
        <w:t>,</w:t>
      </w:r>
      <w:r>
        <w:t xml:space="preserve"> &lt;</w:t>
      </w:r>
      <w:r w:rsidR="000A337C" w:rsidRPr="00213448">
        <w:t>http://doku.iab.de/</w:t>
      </w:r>
      <w:r w:rsidR="002C1E23">
        <w:t xml:space="preserve"> </w:t>
      </w:r>
      <w:proofErr w:type="spellStart"/>
      <w:r w:rsidR="000A337C" w:rsidRPr="00213448">
        <w:t>discussionpapers</w:t>
      </w:r>
      <w:proofErr w:type="spellEnd"/>
      <w:r w:rsidR="000A337C" w:rsidRPr="00213448">
        <w:t>/2006/dp1506.pdf</w:t>
      </w:r>
      <w:r>
        <w:t>&gt;.</w:t>
      </w:r>
    </w:p>
    <w:p w:rsidR="008637B2" w:rsidRPr="00213448" w:rsidRDefault="001B36BD" w:rsidP="008637B2">
      <w:pPr>
        <w:pStyle w:val="References"/>
      </w:pPr>
      <w:proofErr w:type="spellStart"/>
      <w:r>
        <w:t>Knies</w:t>
      </w:r>
      <w:proofErr w:type="spellEnd"/>
      <w:r>
        <w:t xml:space="preserve">, G, Burton, J &amp; </w:t>
      </w:r>
      <w:proofErr w:type="spellStart"/>
      <w:r>
        <w:t>Sala</w:t>
      </w:r>
      <w:proofErr w:type="spellEnd"/>
      <w:r>
        <w:t>, E</w:t>
      </w:r>
      <w:r w:rsidR="005B1940">
        <w:t xml:space="preserve"> 2012</w:t>
      </w:r>
      <w:r w:rsidR="008637B2" w:rsidRPr="00213448">
        <w:t xml:space="preserve">, </w:t>
      </w:r>
      <w:r>
        <w:t>‘</w:t>
      </w:r>
      <w:r w:rsidR="008637B2" w:rsidRPr="00213448">
        <w:t>Consenting to health record linkage: evidence from a multi-purpose longitudinal survey of a general population</w:t>
      </w:r>
      <w:r>
        <w:t>’</w:t>
      </w:r>
      <w:r w:rsidR="008637B2" w:rsidRPr="00213448">
        <w:t xml:space="preserve">, </w:t>
      </w:r>
      <w:r w:rsidR="008637B2" w:rsidRPr="00213448">
        <w:rPr>
          <w:i/>
        </w:rPr>
        <w:t>BMC Health Services Research</w:t>
      </w:r>
      <w:r w:rsidR="008637B2" w:rsidRPr="001B36BD">
        <w:t xml:space="preserve">, </w:t>
      </w:r>
      <w:r>
        <w:t>vol.</w:t>
      </w:r>
      <w:r w:rsidR="008637B2" w:rsidRPr="001B36BD">
        <w:t>12,</w:t>
      </w:r>
      <w:r w:rsidR="008637B2" w:rsidRPr="00213448">
        <w:t xml:space="preserve"> </w:t>
      </w:r>
      <w:r w:rsidRPr="0026179F">
        <w:t xml:space="preserve">viewed </w:t>
      </w:r>
      <w:r w:rsidR="0026179F">
        <w:t>18 November 2012,</w:t>
      </w:r>
      <w:r w:rsidR="008637B2" w:rsidRPr="00213448">
        <w:t xml:space="preserve"> </w:t>
      </w:r>
      <w:r>
        <w:t>&lt;</w:t>
      </w:r>
      <w:r w:rsidR="008637B2" w:rsidRPr="00213448">
        <w:t>www.biomedcentral.com/content/pdf/1472-6963-12-52.pdf</w:t>
      </w:r>
      <w:r>
        <w:t>&gt;.</w:t>
      </w:r>
    </w:p>
    <w:p w:rsidR="005E7D2E" w:rsidRPr="00213448" w:rsidRDefault="00E26C2B" w:rsidP="008637B2">
      <w:pPr>
        <w:pStyle w:val="References"/>
      </w:pPr>
      <w:proofErr w:type="spellStart"/>
      <w:r>
        <w:t>Kum</w:t>
      </w:r>
      <w:proofErr w:type="spellEnd"/>
      <w:r>
        <w:t>, H &amp; Masterson, TN</w:t>
      </w:r>
      <w:r w:rsidR="005E7D2E" w:rsidRPr="00213448">
        <w:t xml:space="preserve"> 2010, </w:t>
      </w:r>
      <w:r>
        <w:t>‘</w:t>
      </w:r>
      <w:r w:rsidR="005E7D2E" w:rsidRPr="00213448">
        <w:t>Statistical matching using propensity scores: theory and application to the analysis of the distribution of income and wealth</w:t>
      </w:r>
      <w:r>
        <w:t>’</w:t>
      </w:r>
      <w:r w:rsidR="005E7D2E" w:rsidRPr="00213448">
        <w:t xml:space="preserve">, </w:t>
      </w:r>
      <w:r w:rsidR="005E7D2E" w:rsidRPr="00213448">
        <w:rPr>
          <w:i/>
        </w:rPr>
        <w:t>Journal of Economic and Social Measurement</w:t>
      </w:r>
      <w:r w:rsidR="005E7D2E" w:rsidRPr="00E26C2B">
        <w:t xml:space="preserve">, </w:t>
      </w:r>
      <w:r>
        <w:t>vol.</w:t>
      </w:r>
      <w:r w:rsidR="005E7D2E" w:rsidRPr="00E26C2B">
        <w:t>35,</w:t>
      </w:r>
      <w:r w:rsidR="005E7D2E" w:rsidRPr="00213448">
        <w:t xml:space="preserve"> </w:t>
      </w:r>
      <w:r w:rsidR="0026179F">
        <w:t xml:space="preserve">no.3/4, </w:t>
      </w:r>
      <w:r>
        <w:t>pp.177—</w:t>
      </w:r>
      <w:r w:rsidR="005E7D2E" w:rsidRPr="00213448">
        <w:t>96.</w:t>
      </w:r>
    </w:p>
    <w:p w:rsidR="00B8264F" w:rsidRDefault="00B8264F" w:rsidP="00B8264F">
      <w:pPr>
        <w:pStyle w:val="References"/>
      </w:pPr>
      <w:proofErr w:type="spellStart"/>
      <w:r w:rsidRPr="00213448">
        <w:t>Lawlor</w:t>
      </w:r>
      <w:proofErr w:type="spellEnd"/>
      <w:r w:rsidRPr="00213448">
        <w:t xml:space="preserve">, DA, Sterne, JAC, </w:t>
      </w:r>
      <w:proofErr w:type="spellStart"/>
      <w:r w:rsidRPr="00213448">
        <w:t>Tyneli</w:t>
      </w:r>
      <w:r w:rsidR="00E26C2B">
        <w:t>us</w:t>
      </w:r>
      <w:proofErr w:type="spellEnd"/>
      <w:r w:rsidR="00E26C2B">
        <w:t>, P, Smith, GD &amp; Rasmussen, F</w:t>
      </w:r>
      <w:r w:rsidRPr="00213448">
        <w:t xml:space="preserve"> 2006, </w:t>
      </w:r>
      <w:r w:rsidR="00E26C2B">
        <w:t>‘</w:t>
      </w:r>
      <w:r w:rsidRPr="00213448">
        <w:t>Association of childhood socioeconomic position with cause-specific mortality in a prospective record linkage study of 1,839,384 individuals</w:t>
      </w:r>
      <w:r w:rsidR="00E26C2B">
        <w:t>’</w:t>
      </w:r>
      <w:r w:rsidRPr="00213448">
        <w:t xml:space="preserve">, </w:t>
      </w:r>
      <w:r w:rsidRPr="00213448">
        <w:rPr>
          <w:i/>
        </w:rPr>
        <w:t>American Journal of Epidemiology</w:t>
      </w:r>
      <w:r w:rsidRPr="00E26C2B">
        <w:t xml:space="preserve">, </w:t>
      </w:r>
      <w:r w:rsidR="00E26C2B">
        <w:t>vol.</w:t>
      </w:r>
      <w:r w:rsidRPr="00E26C2B">
        <w:t>164,</w:t>
      </w:r>
      <w:r w:rsidRPr="00213448">
        <w:t xml:space="preserve"> </w:t>
      </w:r>
      <w:r w:rsidR="0026179F">
        <w:t xml:space="preserve">no.9, </w:t>
      </w:r>
      <w:r w:rsidR="00E26C2B">
        <w:t>pp.907—</w:t>
      </w:r>
      <w:r w:rsidRPr="00213448">
        <w:t>15.</w:t>
      </w:r>
    </w:p>
    <w:p w:rsidR="008B4200" w:rsidRPr="008B4200" w:rsidRDefault="008B4200" w:rsidP="008B4200">
      <w:pPr>
        <w:pStyle w:val="References"/>
        <w:rPr>
          <w:bCs/>
          <w:iCs/>
          <w:lang w:val="en-US"/>
        </w:rPr>
      </w:pPr>
      <w:proofErr w:type="spellStart"/>
      <w:r>
        <w:rPr>
          <w:bCs/>
          <w:iCs/>
          <w:lang w:val="en-US"/>
        </w:rPr>
        <w:t>Leow</w:t>
      </w:r>
      <w:proofErr w:type="spellEnd"/>
      <w:r>
        <w:rPr>
          <w:bCs/>
          <w:iCs/>
          <w:lang w:val="en-US"/>
        </w:rPr>
        <w:t xml:space="preserve">, C, Marcus, S, </w:t>
      </w:r>
      <w:proofErr w:type="spellStart"/>
      <w:r>
        <w:rPr>
          <w:bCs/>
          <w:iCs/>
          <w:lang w:val="en-US"/>
        </w:rPr>
        <w:t>Zanutto</w:t>
      </w:r>
      <w:proofErr w:type="spellEnd"/>
      <w:r>
        <w:rPr>
          <w:bCs/>
          <w:iCs/>
          <w:lang w:val="en-US"/>
        </w:rPr>
        <w:t xml:space="preserve">, E &amp; </w:t>
      </w:r>
      <w:proofErr w:type="spellStart"/>
      <w:r>
        <w:rPr>
          <w:bCs/>
          <w:iCs/>
          <w:lang w:val="en-US"/>
        </w:rPr>
        <w:t>Boruch</w:t>
      </w:r>
      <w:proofErr w:type="spellEnd"/>
      <w:r>
        <w:rPr>
          <w:bCs/>
          <w:iCs/>
          <w:lang w:val="en-US"/>
        </w:rPr>
        <w:t xml:space="preserve">, R </w:t>
      </w:r>
      <w:r w:rsidRPr="008B4200">
        <w:rPr>
          <w:bCs/>
          <w:iCs/>
          <w:lang w:val="en-US"/>
        </w:rPr>
        <w:t>2</w:t>
      </w:r>
      <w:r>
        <w:rPr>
          <w:bCs/>
          <w:iCs/>
          <w:lang w:val="en-US"/>
        </w:rPr>
        <w:t>004,</w:t>
      </w:r>
      <w:r w:rsidRPr="008B4200">
        <w:rPr>
          <w:bCs/>
          <w:iCs/>
          <w:lang w:val="en-US"/>
        </w:rPr>
        <w:t xml:space="preserve"> </w:t>
      </w:r>
      <w:r w:rsidR="00E26C2B">
        <w:rPr>
          <w:bCs/>
          <w:iCs/>
          <w:lang w:val="en-US"/>
        </w:rPr>
        <w:t>‘</w:t>
      </w:r>
      <w:r w:rsidRPr="008B4200">
        <w:rPr>
          <w:bCs/>
          <w:iCs/>
          <w:lang w:val="en-US"/>
        </w:rPr>
        <w:t>Effects of advanced course-taking on</w:t>
      </w:r>
      <w:r>
        <w:rPr>
          <w:bCs/>
          <w:iCs/>
          <w:lang w:val="en-US"/>
        </w:rPr>
        <w:t xml:space="preserve"> math and science achievement: a</w:t>
      </w:r>
      <w:r w:rsidRPr="008B4200">
        <w:rPr>
          <w:bCs/>
          <w:iCs/>
          <w:lang w:val="en-US"/>
        </w:rPr>
        <w:t>ddressing selecti</w:t>
      </w:r>
      <w:r>
        <w:rPr>
          <w:bCs/>
          <w:iCs/>
          <w:lang w:val="en-US"/>
        </w:rPr>
        <w:t>on bias using propensity scores</w:t>
      </w:r>
      <w:r w:rsidR="00E26C2B">
        <w:rPr>
          <w:bCs/>
          <w:iCs/>
          <w:lang w:val="en-US"/>
        </w:rPr>
        <w:t>’</w:t>
      </w:r>
      <w:r>
        <w:rPr>
          <w:bCs/>
          <w:iCs/>
          <w:lang w:val="en-US"/>
        </w:rPr>
        <w:t>,</w:t>
      </w:r>
      <w:r w:rsidRPr="008B4200">
        <w:rPr>
          <w:bCs/>
          <w:iCs/>
          <w:lang w:val="en-US"/>
        </w:rPr>
        <w:t xml:space="preserve"> </w:t>
      </w:r>
      <w:r w:rsidRPr="008B4200">
        <w:rPr>
          <w:bCs/>
          <w:i/>
          <w:iCs/>
          <w:lang w:val="en-US"/>
        </w:rPr>
        <w:t>American Journal of Evaluation</w:t>
      </w:r>
      <w:r w:rsidRPr="00E26C2B">
        <w:rPr>
          <w:bCs/>
          <w:iCs/>
          <w:lang w:val="en-US"/>
        </w:rPr>
        <w:t xml:space="preserve">, </w:t>
      </w:r>
      <w:r w:rsidR="00E26C2B">
        <w:rPr>
          <w:bCs/>
          <w:iCs/>
          <w:lang w:val="en-US"/>
        </w:rPr>
        <w:t>vol.</w:t>
      </w:r>
      <w:r w:rsidRPr="00E26C2B">
        <w:rPr>
          <w:bCs/>
          <w:iCs/>
          <w:lang w:val="en-US"/>
        </w:rPr>
        <w:t>25,</w:t>
      </w:r>
      <w:r w:rsidRPr="008B4200">
        <w:rPr>
          <w:bCs/>
          <w:iCs/>
          <w:lang w:val="en-US"/>
        </w:rPr>
        <w:t xml:space="preserve"> </w:t>
      </w:r>
      <w:r w:rsidR="0026179F">
        <w:rPr>
          <w:bCs/>
          <w:iCs/>
          <w:lang w:val="en-US"/>
        </w:rPr>
        <w:t xml:space="preserve">no.4, </w:t>
      </w:r>
      <w:r w:rsidR="00E26C2B">
        <w:rPr>
          <w:bCs/>
          <w:iCs/>
          <w:lang w:val="en-US"/>
        </w:rPr>
        <w:t>pp.461—</w:t>
      </w:r>
      <w:r w:rsidRPr="008B4200">
        <w:rPr>
          <w:bCs/>
          <w:iCs/>
          <w:lang w:val="en-US"/>
        </w:rPr>
        <w:t>78.</w:t>
      </w:r>
    </w:p>
    <w:p w:rsidR="001B6A07" w:rsidRDefault="001B6A07" w:rsidP="004C7039">
      <w:pPr>
        <w:pStyle w:val="References"/>
      </w:pPr>
      <w:r w:rsidRPr="00213448">
        <w:t>Li,</w:t>
      </w:r>
      <w:r w:rsidR="00E26C2B">
        <w:t xml:space="preserve"> X, </w:t>
      </w:r>
      <w:proofErr w:type="spellStart"/>
      <w:r w:rsidR="00E26C2B">
        <w:t>Sundquist</w:t>
      </w:r>
      <w:proofErr w:type="spellEnd"/>
      <w:r w:rsidR="00E26C2B">
        <w:t xml:space="preserve">, J &amp; </w:t>
      </w:r>
      <w:proofErr w:type="spellStart"/>
      <w:r w:rsidR="00E26C2B">
        <w:t>Sundquist</w:t>
      </w:r>
      <w:proofErr w:type="spellEnd"/>
      <w:r w:rsidR="00E26C2B">
        <w:t>, K</w:t>
      </w:r>
      <w:r w:rsidRPr="00213448">
        <w:t xml:space="preserve"> 2010, </w:t>
      </w:r>
      <w:r w:rsidR="00E26C2B">
        <w:t>‘</w:t>
      </w:r>
      <w:r w:rsidRPr="00213448">
        <w:t>Parental occupation and risk of small for-gestational-age births: a nationwide epidemiological study in Sweden</w:t>
      </w:r>
      <w:r w:rsidR="00E26C2B">
        <w:t>’</w:t>
      </w:r>
      <w:r w:rsidRPr="00213448">
        <w:t xml:space="preserve">, </w:t>
      </w:r>
      <w:r w:rsidRPr="00CF1995">
        <w:rPr>
          <w:i/>
        </w:rPr>
        <w:t>Human Reproduction</w:t>
      </w:r>
      <w:r w:rsidRPr="00E26C2B">
        <w:t xml:space="preserve">, </w:t>
      </w:r>
      <w:r w:rsidR="00E26C2B">
        <w:t>vol.</w:t>
      </w:r>
      <w:r w:rsidRPr="00E26C2B">
        <w:t>25,</w:t>
      </w:r>
      <w:r w:rsidRPr="00213448">
        <w:t xml:space="preserve"> </w:t>
      </w:r>
      <w:r w:rsidR="0026179F">
        <w:t xml:space="preserve">no.4, </w:t>
      </w:r>
      <w:r w:rsidR="00E26C2B">
        <w:t>pp.1044—</w:t>
      </w:r>
      <w:r w:rsidRPr="00213448">
        <w:t>50.</w:t>
      </w:r>
    </w:p>
    <w:p w:rsidR="00C56269" w:rsidRDefault="00E26C2B" w:rsidP="00B924A5">
      <w:pPr>
        <w:pStyle w:val="References"/>
      </w:pPr>
      <w:r>
        <w:t xml:space="preserve">Liu, TP &amp; </w:t>
      </w:r>
      <w:proofErr w:type="spellStart"/>
      <w:r>
        <w:t>Kovacevic</w:t>
      </w:r>
      <w:proofErr w:type="spellEnd"/>
      <w:r>
        <w:t>, MS</w:t>
      </w:r>
      <w:r w:rsidR="00C56269">
        <w:t xml:space="preserve"> 1997, </w:t>
      </w:r>
      <w:r w:rsidR="006D09F6">
        <w:t>‘</w:t>
      </w:r>
      <w:r w:rsidR="00C56269" w:rsidRPr="006D09F6">
        <w:t>An empirical study on c</w:t>
      </w:r>
      <w:r w:rsidR="00B924A5" w:rsidRPr="006D09F6">
        <w:t>ategorically c</w:t>
      </w:r>
      <w:r w:rsidR="00C56269" w:rsidRPr="006D09F6">
        <w:t xml:space="preserve">onstrained </w:t>
      </w:r>
      <w:r w:rsidR="00B924A5" w:rsidRPr="006D09F6">
        <w:t>m</w:t>
      </w:r>
      <w:r w:rsidR="00C56269" w:rsidRPr="006D09F6">
        <w:t>atching</w:t>
      </w:r>
      <w:r w:rsidR="006D09F6">
        <w:t>’</w:t>
      </w:r>
      <w:r w:rsidR="00C56269" w:rsidRPr="006D09F6">
        <w:t>,</w:t>
      </w:r>
      <w:r w:rsidR="00C56269" w:rsidRPr="00C56269">
        <w:t xml:space="preserve"> </w:t>
      </w:r>
      <w:r w:rsidR="00B924A5" w:rsidRPr="00B924A5">
        <w:t xml:space="preserve">SSC Annual Meeting, </w:t>
      </w:r>
      <w:r w:rsidR="00C56269" w:rsidRPr="00B924A5">
        <w:rPr>
          <w:iCs/>
        </w:rPr>
        <w:t>Proceedings</w:t>
      </w:r>
      <w:r>
        <w:rPr>
          <w:iCs/>
        </w:rPr>
        <w:t xml:space="preserve"> of the Survey Methods Section,</w:t>
      </w:r>
      <w:r w:rsidR="00B924A5" w:rsidRPr="00B924A5">
        <w:rPr>
          <w:iCs/>
        </w:rPr>
        <w:t xml:space="preserve"> </w:t>
      </w:r>
      <w:r w:rsidR="00C56269" w:rsidRPr="00B924A5">
        <w:rPr>
          <w:iCs/>
        </w:rPr>
        <w:t>Statistical Society of Canada</w:t>
      </w:r>
      <w:r>
        <w:rPr>
          <w:iCs/>
        </w:rPr>
        <w:t>,</w:t>
      </w:r>
      <w:r w:rsidRPr="00E26C2B">
        <w:rPr>
          <w:iCs/>
        </w:rPr>
        <w:t xml:space="preserve"> </w:t>
      </w:r>
      <w:r w:rsidRPr="00B924A5">
        <w:rPr>
          <w:iCs/>
        </w:rPr>
        <w:t>Fredericton</w:t>
      </w:r>
      <w:r w:rsidR="00B924A5">
        <w:t>.</w:t>
      </w:r>
    </w:p>
    <w:p w:rsidR="00887DFE" w:rsidRPr="00887DFE" w:rsidRDefault="00887DFE" w:rsidP="00887DFE">
      <w:pPr>
        <w:pStyle w:val="References"/>
        <w:rPr>
          <w:lang w:val="en-US"/>
        </w:rPr>
      </w:pPr>
      <w:proofErr w:type="spellStart"/>
      <w:r>
        <w:rPr>
          <w:lang w:val="en-US"/>
        </w:rPr>
        <w:t>Luellen</w:t>
      </w:r>
      <w:proofErr w:type="spellEnd"/>
      <w:r>
        <w:rPr>
          <w:lang w:val="en-US"/>
        </w:rPr>
        <w:t xml:space="preserve">, J, </w:t>
      </w:r>
      <w:proofErr w:type="spellStart"/>
      <w:r>
        <w:rPr>
          <w:lang w:val="en-US"/>
        </w:rPr>
        <w:t>Shadi</w:t>
      </w:r>
      <w:r w:rsidR="00E26C2B">
        <w:rPr>
          <w:lang w:val="en-US"/>
        </w:rPr>
        <w:t>sh</w:t>
      </w:r>
      <w:proofErr w:type="spellEnd"/>
      <w:r w:rsidR="00E26C2B">
        <w:rPr>
          <w:lang w:val="en-US"/>
        </w:rPr>
        <w:t>, WR &amp; Clark, MH</w:t>
      </w:r>
      <w:r>
        <w:rPr>
          <w:lang w:val="en-US"/>
        </w:rPr>
        <w:t xml:space="preserve"> 2005, </w:t>
      </w:r>
      <w:r w:rsidR="00E26C2B">
        <w:rPr>
          <w:lang w:val="en-US"/>
        </w:rPr>
        <w:t>‘</w:t>
      </w:r>
      <w:r>
        <w:rPr>
          <w:lang w:val="en-US"/>
        </w:rPr>
        <w:t>Propensity scores: a</w:t>
      </w:r>
      <w:r w:rsidRPr="00887DFE">
        <w:rPr>
          <w:lang w:val="en-US"/>
        </w:rPr>
        <w:t>n int</w:t>
      </w:r>
      <w:r w:rsidR="00E26C2B">
        <w:rPr>
          <w:lang w:val="en-US"/>
        </w:rPr>
        <w:t>roduction and experimental test’,</w:t>
      </w:r>
      <w:r w:rsidRPr="00887DFE">
        <w:rPr>
          <w:lang w:val="en-US"/>
        </w:rPr>
        <w:t xml:space="preserve"> </w:t>
      </w:r>
      <w:r w:rsidRPr="00887DFE">
        <w:rPr>
          <w:i/>
          <w:lang w:val="en-US"/>
        </w:rPr>
        <w:t>Evaluation Review</w:t>
      </w:r>
      <w:r w:rsidRPr="00E26C2B">
        <w:rPr>
          <w:lang w:val="en-US"/>
        </w:rPr>
        <w:t xml:space="preserve">, </w:t>
      </w:r>
      <w:r w:rsidR="00E26C2B">
        <w:rPr>
          <w:lang w:val="en-US"/>
        </w:rPr>
        <w:t>vol.</w:t>
      </w:r>
      <w:r w:rsidRPr="00E26C2B">
        <w:rPr>
          <w:lang w:val="en-US"/>
        </w:rPr>
        <w:t>29,</w:t>
      </w:r>
      <w:r w:rsidRPr="00887DFE">
        <w:rPr>
          <w:lang w:val="en-US"/>
        </w:rPr>
        <w:t xml:space="preserve"> </w:t>
      </w:r>
      <w:r w:rsidR="0026179F">
        <w:rPr>
          <w:lang w:val="en-US"/>
        </w:rPr>
        <w:t xml:space="preserve">no.6, </w:t>
      </w:r>
      <w:r w:rsidR="00E26C2B">
        <w:rPr>
          <w:lang w:val="en-US"/>
        </w:rPr>
        <w:t>pp.530—</w:t>
      </w:r>
      <w:r w:rsidRPr="00887DFE">
        <w:rPr>
          <w:lang w:val="en-US"/>
        </w:rPr>
        <w:t>58.</w:t>
      </w:r>
    </w:p>
    <w:p w:rsidR="00EE25CB" w:rsidRPr="00213448" w:rsidRDefault="00E26C2B" w:rsidP="004C7039">
      <w:pPr>
        <w:pStyle w:val="References"/>
      </w:pPr>
      <w:r>
        <w:t>Lynch, J</w:t>
      </w:r>
      <w:r w:rsidR="00EE25CB" w:rsidRPr="00213448">
        <w:t xml:space="preserve"> 2012, </w:t>
      </w:r>
      <w:r w:rsidR="00EE25CB" w:rsidRPr="00213448">
        <w:rPr>
          <w:i/>
        </w:rPr>
        <w:t>South Australian early childhood development demonstration project</w:t>
      </w:r>
      <w:r w:rsidR="00EE25CB" w:rsidRPr="00213448">
        <w:t xml:space="preserve">, </w:t>
      </w:r>
      <w:r w:rsidRPr="0026179F">
        <w:t xml:space="preserve">viewed </w:t>
      </w:r>
      <w:r w:rsidR="0026179F">
        <w:t>6 November 2012,</w:t>
      </w:r>
      <w:r w:rsidR="00EE25CB" w:rsidRPr="00213448">
        <w:t xml:space="preserve"> </w:t>
      </w:r>
      <w:r>
        <w:t>&lt;</w:t>
      </w:r>
      <w:r w:rsidR="00EE25CB" w:rsidRPr="00213448">
        <w:t>www.santdatalink.org.au/Demonstration_Projects</w:t>
      </w:r>
      <w:r>
        <w:t>&gt;.</w:t>
      </w:r>
    </w:p>
    <w:p w:rsidR="00CF1082" w:rsidRPr="00CF1082" w:rsidRDefault="00E26C2B" w:rsidP="00CF1082">
      <w:pPr>
        <w:pStyle w:val="References"/>
      </w:pPr>
      <w:proofErr w:type="gramStart"/>
      <w:r>
        <w:t>National Statistical Service</w:t>
      </w:r>
      <w:r w:rsidR="00CF1082">
        <w:t xml:space="preserve"> </w:t>
      </w:r>
      <w:r w:rsidR="00CF1082" w:rsidRPr="00CF1082">
        <w:t xml:space="preserve">2010, </w:t>
      </w:r>
      <w:r w:rsidR="00CF1082" w:rsidRPr="00CF1082">
        <w:rPr>
          <w:bCs/>
          <w:i/>
        </w:rPr>
        <w:t xml:space="preserve">High level principles </w:t>
      </w:r>
      <w:r w:rsidR="00CF1082" w:rsidRPr="00CF1082">
        <w:rPr>
          <w:i/>
        </w:rPr>
        <w:t xml:space="preserve">for </w:t>
      </w:r>
      <w:r w:rsidR="00CF1082" w:rsidRPr="00CF1082">
        <w:rPr>
          <w:bCs/>
          <w:i/>
        </w:rPr>
        <w:t xml:space="preserve">data integration </w:t>
      </w:r>
      <w:r w:rsidR="00CF1082" w:rsidRPr="00CF1082">
        <w:rPr>
          <w:i/>
        </w:rPr>
        <w:t xml:space="preserve">involving </w:t>
      </w:r>
      <w:r w:rsidR="00CF1082" w:rsidRPr="00CF1082">
        <w:rPr>
          <w:bCs/>
          <w:i/>
        </w:rPr>
        <w:t xml:space="preserve">Commonwealth data </w:t>
      </w:r>
      <w:r w:rsidR="00CF1082" w:rsidRPr="00CF1082">
        <w:rPr>
          <w:i/>
        </w:rPr>
        <w:t xml:space="preserve">for </w:t>
      </w:r>
      <w:r w:rsidR="00CF1082" w:rsidRPr="00CF1082">
        <w:rPr>
          <w:bCs/>
          <w:i/>
        </w:rPr>
        <w:t xml:space="preserve">statistical </w:t>
      </w:r>
      <w:r w:rsidR="00CF1082" w:rsidRPr="00CF1082">
        <w:rPr>
          <w:i/>
        </w:rPr>
        <w:t xml:space="preserve">and </w:t>
      </w:r>
      <w:r w:rsidR="00CF1082" w:rsidRPr="00CF1082">
        <w:rPr>
          <w:bCs/>
          <w:i/>
        </w:rPr>
        <w:t>research purposes</w:t>
      </w:r>
      <w:r w:rsidR="00CF1082">
        <w:rPr>
          <w:bCs/>
        </w:rPr>
        <w:t xml:space="preserve">, </w:t>
      </w:r>
      <w:r w:rsidRPr="0026179F">
        <w:rPr>
          <w:bCs/>
        </w:rPr>
        <w:t xml:space="preserve">viewed </w:t>
      </w:r>
      <w:r w:rsidR="0026179F">
        <w:rPr>
          <w:bCs/>
        </w:rPr>
        <w:t>6 November 2012,</w:t>
      </w:r>
      <w:r w:rsidR="00CF1082">
        <w:rPr>
          <w:bCs/>
        </w:rPr>
        <w:t xml:space="preserve"> </w:t>
      </w:r>
      <w:r>
        <w:rPr>
          <w:bCs/>
        </w:rPr>
        <w:t>&lt;</w:t>
      </w:r>
      <w:r w:rsidR="00CF1082" w:rsidRPr="00CF1082">
        <w:rPr>
          <w:bCs/>
        </w:rPr>
        <w:t>www.nss.gov.au/nss/home.nsf/NSS/7AFDD165E21F34FDCA2577E400195826?opendocument</w:t>
      </w:r>
      <w:r>
        <w:rPr>
          <w:bCs/>
        </w:rPr>
        <w:t>&gt;.</w:t>
      </w:r>
      <w:proofErr w:type="gramEnd"/>
    </w:p>
    <w:p w:rsidR="00207AC8" w:rsidRPr="00213448" w:rsidRDefault="00E26C2B" w:rsidP="00207AC8">
      <w:pPr>
        <w:pStyle w:val="References"/>
      </w:pPr>
      <w:r>
        <w:t>——</w:t>
      </w:r>
      <w:r w:rsidR="00207AC8" w:rsidRPr="00213448">
        <w:t>2012</w:t>
      </w:r>
      <w:r w:rsidR="00207AC8">
        <w:t>a</w:t>
      </w:r>
      <w:r w:rsidR="00207AC8" w:rsidRPr="00213448">
        <w:t xml:space="preserve">, </w:t>
      </w:r>
      <w:bookmarkStart w:id="71" w:name="top"/>
      <w:r w:rsidR="00207AC8" w:rsidRPr="00213448">
        <w:rPr>
          <w:bCs/>
          <w:i/>
        </w:rPr>
        <w:t>Concept paper: Australian Longitudinal Learning Database (ALLD)</w:t>
      </w:r>
      <w:bookmarkEnd w:id="71"/>
      <w:r w:rsidR="00207AC8" w:rsidRPr="00213448">
        <w:rPr>
          <w:bCs/>
        </w:rPr>
        <w:t xml:space="preserve">, </w:t>
      </w:r>
      <w:r w:rsidRPr="0026179F">
        <w:rPr>
          <w:bCs/>
        </w:rPr>
        <w:t xml:space="preserve">viewed </w:t>
      </w:r>
      <w:r w:rsidR="0026179F">
        <w:rPr>
          <w:bCs/>
        </w:rPr>
        <w:t>6 November 2012,</w:t>
      </w:r>
      <w:r w:rsidR="00207AC8" w:rsidRPr="00213448">
        <w:rPr>
          <w:bCs/>
        </w:rPr>
        <w:t xml:space="preserve"> </w:t>
      </w:r>
      <w:r>
        <w:rPr>
          <w:bCs/>
        </w:rPr>
        <w:t>&lt;</w:t>
      </w:r>
      <w:r w:rsidR="00207AC8" w:rsidRPr="00213448">
        <w:rPr>
          <w:bCs/>
        </w:rPr>
        <w:t>www.nss.gov.au/nss/home.nsf/NSS/4FB1EC5C8DF5709BCA25784C000386C7?opendocument</w:t>
      </w:r>
      <w:r>
        <w:rPr>
          <w:bCs/>
        </w:rPr>
        <w:t>&gt;.</w:t>
      </w:r>
    </w:p>
    <w:p w:rsidR="000641AB" w:rsidRPr="006354B1" w:rsidRDefault="00E26C2B" w:rsidP="000641AB">
      <w:pPr>
        <w:pStyle w:val="References"/>
      </w:pPr>
      <w:r>
        <w:t>——</w:t>
      </w:r>
      <w:r w:rsidR="00207AC8">
        <w:t>2012b</w:t>
      </w:r>
      <w:r w:rsidR="000641AB" w:rsidRPr="006354B1">
        <w:t xml:space="preserve">, </w:t>
      </w:r>
      <w:r w:rsidR="000641AB" w:rsidRPr="006354B1">
        <w:rPr>
          <w:bCs/>
          <w:i/>
        </w:rPr>
        <w:t>Rights, responsibilities and roles of integrating authorities</w:t>
      </w:r>
      <w:r w:rsidR="000641AB">
        <w:rPr>
          <w:bCs/>
        </w:rPr>
        <w:t xml:space="preserve">, </w:t>
      </w:r>
      <w:r w:rsidRPr="0026179F">
        <w:rPr>
          <w:bCs/>
        </w:rPr>
        <w:t xml:space="preserve">viewed </w:t>
      </w:r>
      <w:r w:rsidR="0026179F">
        <w:rPr>
          <w:bCs/>
        </w:rPr>
        <w:t>6 November 2012,</w:t>
      </w:r>
      <w:r w:rsidR="000641AB">
        <w:rPr>
          <w:bCs/>
        </w:rPr>
        <w:t xml:space="preserve"> </w:t>
      </w:r>
      <w:r>
        <w:rPr>
          <w:bCs/>
        </w:rPr>
        <w:t>&lt;</w:t>
      </w:r>
      <w:r w:rsidR="000641AB" w:rsidRPr="006354B1">
        <w:rPr>
          <w:bCs/>
        </w:rPr>
        <w:t>www.nss.gov.au/nss/h</w:t>
      </w:r>
      <w:r w:rsidR="000641AB">
        <w:rPr>
          <w:bCs/>
        </w:rPr>
        <w:t>ome.nsf/pages/Data+Integration</w:t>
      </w:r>
      <w:r w:rsidR="000641AB" w:rsidRPr="006354B1">
        <w:rPr>
          <w:bCs/>
        </w:rPr>
        <w:t>+Roles+and+responsibilities+of+integrating+</w:t>
      </w:r>
      <w:r w:rsidR="006A0FFC">
        <w:rPr>
          <w:bCs/>
        </w:rPr>
        <w:t xml:space="preserve"> </w:t>
      </w:r>
      <w:proofErr w:type="spellStart"/>
      <w:r w:rsidR="000641AB" w:rsidRPr="006354B1">
        <w:rPr>
          <w:bCs/>
        </w:rPr>
        <w:t>authorities</w:t>
      </w:r>
      <w:proofErr w:type="gramStart"/>
      <w:r w:rsidR="000641AB" w:rsidRPr="006354B1">
        <w:rPr>
          <w:bCs/>
        </w:rPr>
        <w:t>?OpenDocument</w:t>
      </w:r>
      <w:proofErr w:type="spellEnd"/>
      <w:proofErr w:type="gramEnd"/>
      <w:r>
        <w:rPr>
          <w:bCs/>
        </w:rPr>
        <w:t>&gt;</w:t>
      </w:r>
      <w:r w:rsidR="005A6CAD">
        <w:rPr>
          <w:bCs/>
        </w:rPr>
        <w:t>.</w:t>
      </w:r>
    </w:p>
    <w:p w:rsidR="00096F8C" w:rsidRDefault="005A6CAD" w:rsidP="00096F8C">
      <w:pPr>
        <w:pStyle w:val="References"/>
      </w:pPr>
      <w:r>
        <w:t xml:space="preserve">NCVER (National Centre for Vocational Education Research) </w:t>
      </w:r>
      <w:r w:rsidR="00096F8C">
        <w:t xml:space="preserve">2011a, </w:t>
      </w:r>
      <w:r w:rsidR="00096F8C" w:rsidRPr="00096F8C">
        <w:rPr>
          <w:i/>
        </w:rPr>
        <w:t>Longitudinal Surveys of Australian Youth 1998 cohort: user guide</w:t>
      </w:r>
      <w:r w:rsidR="00096F8C">
        <w:t xml:space="preserve">, </w:t>
      </w:r>
      <w:r>
        <w:t>NCVER,</w:t>
      </w:r>
      <w:r w:rsidRPr="00FD2140">
        <w:t xml:space="preserve"> </w:t>
      </w:r>
      <w:r>
        <w:t>Adelaide.</w:t>
      </w:r>
    </w:p>
    <w:p w:rsidR="007C6567" w:rsidRDefault="005A6CAD" w:rsidP="007C6567">
      <w:pPr>
        <w:pStyle w:val="References"/>
      </w:pPr>
      <w:r>
        <w:t>——</w:t>
      </w:r>
      <w:r w:rsidR="007C6567">
        <w:t>2011</w:t>
      </w:r>
      <w:r w:rsidR="00096F8C">
        <w:t>b</w:t>
      </w:r>
      <w:r w:rsidR="007C6567">
        <w:t xml:space="preserve">, </w:t>
      </w:r>
      <w:r w:rsidR="007C6567" w:rsidRPr="007C6567">
        <w:rPr>
          <w:i/>
        </w:rPr>
        <w:t>Australian vocational education and training statistics explained</w:t>
      </w:r>
      <w:r w:rsidR="007C6567">
        <w:t xml:space="preserve">, </w:t>
      </w:r>
      <w:r>
        <w:t>NCVER,</w:t>
      </w:r>
      <w:r w:rsidRPr="00FD2140">
        <w:t xml:space="preserve"> </w:t>
      </w:r>
      <w:r>
        <w:t>Adelaide.</w:t>
      </w:r>
    </w:p>
    <w:p w:rsidR="008135F8" w:rsidRPr="00213448" w:rsidRDefault="008135F8" w:rsidP="005E7D2E">
      <w:pPr>
        <w:pStyle w:val="References"/>
      </w:pPr>
      <w:r w:rsidRPr="00213448">
        <w:t>Nguyen, N, Cull</w:t>
      </w:r>
      <w:r w:rsidR="005A6CAD">
        <w:t>y, M, Anlezark, A &amp; Dockery, AM</w:t>
      </w:r>
      <w:r w:rsidRPr="00213448">
        <w:t xml:space="preserve"> 2010, </w:t>
      </w:r>
      <w:proofErr w:type="gramStart"/>
      <w:r w:rsidRPr="00213448">
        <w:rPr>
          <w:i/>
        </w:rPr>
        <w:t>A</w:t>
      </w:r>
      <w:proofErr w:type="gramEnd"/>
      <w:r w:rsidRPr="00213448">
        <w:rPr>
          <w:i/>
        </w:rPr>
        <w:t xml:space="preserve"> </w:t>
      </w:r>
      <w:proofErr w:type="spellStart"/>
      <w:r w:rsidRPr="00213448">
        <w:rPr>
          <w:i/>
        </w:rPr>
        <w:t>stocktake</w:t>
      </w:r>
      <w:proofErr w:type="spellEnd"/>
      <w:r w:rsidRPr="00213448">
        <w:rPr>
          <w:i/>
        </w:rPr>
        <w:t xml:space="preserve"> of the Longitudinal Surveys of Australian Youth</w:t>
      </w:r>
      <w:r w:rsidRPr="00213448">
        <w:t xml:space="preserve">, </w:t>
      </w:r>
      <w:r w:rsidR="005A6CAD">
        <w:t>NCVER,</w:t>
      </w:r>
      <w:r w:rsidR="005A6CAD" w:rsidRPr="00FD2140">
        <w:t xml:space="preserve"> </w:t>
      </w:r>
      <w:r w:rsidR="005A6CAD">
        <w:t>Adelaide.</w:t>
      </w:r>
    </w:p>
    <w:p w:rsidR="007B0C04" w:rsidRDefault="007B0C04" w:rsidP="007B0C04">
      <w:pPr>
        <w:pStyle w:val="References"/>
        <w:rPr>
          <w:bCs/>
        </w:rPr>
      </w:pPr>
      <w:proofErr w:type="spellStart"/>
      <w:r w:rsidRPr="00213448">
        <w:t>Raessler</w:t>
      </w:r>
      <w:proofErr w:type="spellEnd"/>
      <w:r w:rsidRPr="00213448">
        <w:t xml:space="preserve">, S 2004, </w:t>
      </w:r>
      <w:r w:rsidR="005A6CAD">
        <w:t>‘</w:t>
      </w:r>
      <w:r w:rsidRPr="00213448">
        <w:rPr>
          <w:bCs/>
        </w:rPr>
        <w:t>Data fusion: identification problems, validity and multiple imputation</w:t>
      </w:r>
      <w:r w:rsidR="005A6CAD">
        <w:rPr>
          <w:bCs/>
        </w:rPr>
        <w:t>’</w:t>
      </w:r>
      <w:r w:rsidRPr="00213448">
        <w:rPr>
          <w:bCs/>
        </w:rPr>
        <w:t xml:space="preserve">, </w:t>
      </w:r>
      <w:r w:rsidRPr="00213448">
        <w:rPr>
          <w:bCs/>
          <w:i/>
        </w:rPr>
        <w:t>Austrian Journal of Statistics</w:t>
      </w:r>
      <w:r w:rsidRPr="005A6CAD">
        <w:rPr>
          <w:bCs/>
        </w:rPr>
        <w:t xml:space="preserve">, </w:t>
      </w:r>
      <w:r w:rsidR="005A6CAD">
        <w:rPr>
          <w:bCs/>
        </w:rPr>
        <w:t>vol.</w:t>
      </w:r>
      <w:r w:rsidRPr="005A6CAD">
        <w:rPr>
          <w:bCs/>
        </w:rPr>
        <w:t>33,</w:t>
      </w:r>
      <w:r w:rsidRPr="00213448">
        <w:rPr>
          <w:bCs/>
        </w:rPr>
        <w:t xml:space="preserve"> </w:t>
      </w:r>
      <w:r w:rsidR="0026179F">
        <w:rPr>
          <w:bCs/>
        </w:rPr>
        <w:t xml:space="preserve">no.1/2, </w:t>
      </w:r>
      <w:r w:rsidR="005A6CAD">
        <w:rPr>
          <w:bCs/>
        </w:rPr>
        <w:t>pp.153—</w:t>
      </w:r>
      <w:r w:rsidRPr="00213448">
        <w:rPr>
          <w:bCs/>
        </w:rPr>
        <w:t>71.</w:t>
      </w:r>
    </w:p>
    <w:p w:rsidR="00544B32" w:rsidRDefault="00544B32" w:rsidP="007B0C04">
      <w:pPr>
        <w:pStyle w:val="References"/>
        <w:rPr>
          <w:bCs/>
        </w:rPr>
      </w:pPr>
      <w:proofErr w:type="spellStart"/>
      <w:r>
        <w:rPr>
          <w:bCs/>
        </w:rPr>
        <w:t>Ra</w:t>
      </w:r>
      <w:r w:rsidR="005A6CAD">
        <w:rPr>
          <w:bCs/>
        </w:rPr>
        <w:t>sner</w:t>
      </w:r>
      <w:proofErr w:type="spellEnd"/>
      <w:r w:rsidR="005A6CAD">
        <w:rPr>
          <w:bCs/>
        </w:rPr>
        <w:t xml:space="preserve">, A, Frick, JR &amp; </w:t>
      </w:r>
      <w:proofErr w:type="spellStart"/>
      <w:r w:rsidR="005A6CAD">
        <w:rPr>
          <w:bCs/>
        </w:rPr>
        <w:t>Grabka</w:t>
      </w:r>
      <w:proofErr w:type="spellEnd"/>
      <w:r w:rsidR="005A6CAD">
        <w:rPr>
          <w:bCs/>
        </w:rPr>
        <w:t>, MM</w:t>
      </w:r>
      <w:r>
        <w:rPr>
          <w:bCs/>
        </w:rPr>
        <w:t xml:space="preserve"> 2010, </w:t>
      </w:r>
      <w:r w:rsidRPr="00C56269">
        <w:rPr>
          <w:bCs/>
          <w:i/>
        </w:rPr>
        <w:t xml:space="preserve">Extending the empirical basis for wealth inequality research using statistical matching of </w:t>
      </w:r>
      <w:r w:rsidR="00C56269" w:rsidRPr="00C56269">
        <w:rPr>
          <w:bCs/>
          <w:i/>
        </w:rPr>
        <w:t>administrative and survey data</w:t>
      </w:r>
      <w:r w:rsidR="00C56269">
        <w:rPr>
          <w:bCs/>
        </w:rPr>
        <w:t xml:space="preserve">, </w:t>
      </w:r>
      <w:proofErr w:type="spellStart"/>
      <w:r w:rsidR="0026179F" w:rsidRPr="0026179F">
        <w:rPr>
          <w:bCs/>
        </w:rPr>
        <w:t>Deutsches</w:t>
      </w:r>
      <w:proofErr w:type="spellEnd"/>
      <w:r w:rsidR="0026179F" w:rsidRPr="0026179F">
        <w:rPr>
          <w:bCs/>
        </w:rPr>
        <w:t xml:space="preserve"> </w:t>
      </w:r>
      <w:proofErr w:type="spellStart"/>
      <w:r w:rsidR="0026179F" w:rsidRPr="0026179F">
        <w:rPr>
          <w:bCs/>
        </w:rPr>
        <w:t>Institut</w:t>
      </w:r>
      <w:proofErr w:type="spellEnd"/>
      <w:r w:rsidR="0026179F" w:rsidRPr="0026179F">
        <w:rPr>
          <w:bCs/>
        </w:rPr>
        <w:t xml:space="preserve"> </w:t>
      </w:r>
      <w:proofErr w:type="spellStart"/>
      <w:r w:rsidR="0026179F" w:rsidRPr="0026179F">
        <w:rPr>
          <w:bCs/>
        </w:rPr>
        <w:t>fuer</w:t>
      </w:r>
      <w:proofErr w:type="spellEnd"/>
      <w:r w:rsidR="0026179F" w:rsidRPr="0026179F">
        <w:rPr>
          <w:bCs/>
        </w:rPr>
        <w:t xml:space="preserve"> </w:t>
      </w:r>
      <w:proofErr w:type="spellStart"/>
      <w:r w:rsidR="0026179F" w:rsidRPr="0026179F">
        <w:rPr>
          <w:bCs/>
        </w:rPr>
        <w:t>Wirtschaftsforschung</w:t>
      </w:r>
      <w:proofErr w:type="spellEnd"/>
      <w:r w:rsidR="0026179F">
        <w:rPr>
          <w:bCs/>
        </w:rPr>
        <w:t xml:space="preserve">, </w:t>
      </w:r>
      <w:r w:rsidR="005A6CAD">
        <w:rPr>
          <w:bCs/>
        </w:rPr>
        <w:t>Berlin.</w:t>
      </w:r>
    </w:p>
    <w:p w:rsidR="00687F85" w:rsidRPr="00213448" w:rsidRDefault="00687F85" w:rsidP="007B0C04">
      <w:pPr>
        <w:pStyle w:val="References"/>
      </w:pPr>
      <w:r>
        <w:rPr>
          <w:bCs/>
        </w:rPr>
        <w:t>Rogers, H, Blakemore</w:t>
      </w:r>
      <w:r w:rsidR="005A6CAD">
        <w:rPr>
          <w:bCs/>
        </w:rPr>
        <w:t>, T, Shipley, M &amp; Hutchinson, S</w:t>
      </w:r>
      <w:r>
        <w:rPr>
          <w:bCs/>
        </w:rPr>
        <w:t xml:space="preserve"> 2009, </w:t>
      </w:r>
      <w:r w:rsidRPr="00687F85">
        <w:rPr>
          <w:bCs/>
          <w:i/>
        </w:rPr>
        <w:t>Longitudinal Study of Australian Children: key research questions</w:t>
      </w:r>
      <w:r>
        <w:rPr>
          <w:bCs/>
        </w:rPr>
        <w:t xml:space="preserve">, </w:t>
      </w:r>
      <w:r w:rsidR="005A6CAD" w:rsidRPr="0026179F">
        <w:rPr>
          <w:bCs/>
        </w:rPr>
        <w:t xml:space="preserve">viewed </w:t>
      </w:r>
      <w:r w:rsidR="0026179F">
        <w:rPr>
          <w:bCs/>
        </w:rPr>
        <w:t>8 November 2012,</w:t>
      </w:r>
      <w:r>
        <w:rPr>
          <w:bCs/>
        </w:rPr>
        <w:t xml:space="preserve"> </w:t>
      </w:r>
      <w:r w:rsidR="005A6CAD">
        <w:rPr>
          <w:bCs/>
        </w:rPr>
        <w:t>&lt;</w:t>
      </w:r>
      <w:r w:rsidRPr="00687F85">
        <w:rPr>
          <w:bCs/>
        </w:rPr>
        <w:t>www.aifs.gov.au/growingup/pubs/reports/krq2009/</w:t>
      </w:r>
      <w:r w:rsidR="003D0D0A">
        <w:rPr>
          <w:bCs/>
        </w:rPr>
        <w:t xml:space="preserve"> </w:t>
      </w:r>
      <w:r w:rsidRPr="00687F85">
        <w:rPr>
          <w:bCs/>
        </w:rPr>
        <w:t>KeyResearchQuestionsJuly09.pdf</w:t>
      </w:r>
      <w:r w:rsidR="005A6CAD">
        <w:rPr>
          <w:bCs/>
        </w:rPr>
        <w:t>&gt;.</w:t>
      </w:r>
    </w:p>
    <w:p w:rsidR="008B4200" w:rsidRPr="008B4200" w:rsidRDefault="005A6CAD" w:rsidP="008B4200">
      <w:pPr>
        <w:pStyle w:val="References"/>
        <w:rPr>
          <w:lang w:val="en-US"/>
        </w:rPr>
      </w:pPr>
      <w:r>
        <w:rPr>
          <w:lang w:val="en-US"/>
        </w:rPr>
        <w:lastRenderedPageBreak/>
        <w:t>Rosenbaum, PR</w:t>
      </w:r>
      <w:r w:rsidR="008B4200">
        <w:rPr>
          <w:lang w:val="en-US"/>
        </w:rPr>
        <w:t xml:space="preserve"> 1998,</w:t>
      </w:r>
      <w:r w:rsidR="008B4200" w:rsidRPr="008B4200">
        <w:rPr>
          <w:lang w:val="en-US"/>
        </w:rPr>
        <w:t xml:space="preserve"> </w:t>
      </w:r>
      <w:r>
        <w:rPr>
          <w:lang w:val="en-US"/>
        </w:rPr>
        <w:t>‘</w:t>
      </w:r>
      <w:r w:rsidR="008B4200">
        <w:rPr>
          <w:bCs/>
          <w:lang w:val="en-US"/>
        </w:rPr>
        <w:t>Propensity score</w:t>
      </w:r>
      <w:r>
        <w:rPr>
          <w:bCs/>
          <w:lang w:val="en-US"/>
        </w:rPr>
        <w:t>’</w:t>
      </w:r>
      <w:r w:rsidR="008B4200">
        <w:rPr>
          <w:bCs/>
          <w:lang w:val="en-US"/>
        </w:rPr>
        <w:t>,</w:t>
      </w:r>
      <w:r w:rsidR="008B4200" w:rsidRPr="008B4200">
        <w:rPr>
          <w:bCs/>
          <w:lang w:val="en-US"/>
        </w:rPr>
        <w:t xml:space="preserve"> </w:t>
      </w:r>
      <w:r w:rsidR="003D0D0A">
        <w:rPr>
          <w:bCs/>
          <w:lang w:val="en-US"/>
        </w:rPr>
        <w:t>i</w:t>
      </w:r>
      <w:r>
        <w:rPr>
          <w:lang w:val="en-US"/>
        </w:rPr>
        <w:t xml:space="preserve">n </w:t>
      </w:r>
      <w:r w:rsidR="008B4200" w:rsidRPr="008B4200">
        <w:rPr>
          <w:bCs/>
          <w:i/>
          <w:lang w:val="en-US"/>
        </w:rPr>
        <w:t>Encyclopedia of</w:t>
      </w:r>
      <w:r w:rsidR="008B4200" w:rsidRPr="008B4200">
        <w:rPr>
          <w:i/>
          <w:lang w:val="en-US"/>
        </w:rPr>
        <w:t xml:space="preserve"> </w:t>
      </w:r>
      <w:r w:rsidR="008B4200" w:rsidRPr="008B4200">
        <w:rPr>
          <w:bCs/>
          <w:i/>
          <w:lang w:val="en-US"/>
        </w:rPr>
        <w:t>biostatistics</w:t>
      </w:r>
      <w:r>
        <w:rPr>
          <w:bCs/>
          <w:i/>
          <w:lang w:val="en-US"/>
        </w:rPr>
        <w:t>,</w:t>
      </w:r>
      <w:r w:rsidR="008B4200">
        <w:rPr>
          <w:lang w:val="en-US"/>
        </w:rPr>
        <w:t xml:space="preserve"> </w:t>
      </w:r>
      <w:proofErr w:type="spellStart"/>
      <w:proofErr w:type="gramStart"/>
      <w:r w:rsidR="003D0D0A">
        <w:rPr>
          <w:lang w:val="en-US"/>
        </w:rPr>
        <w:t>eds</w:t>
      </w:r>
      <w:proofErr w:type="spellEnd"/>
      <w:proofErr w:type="gramEnd"/>
      <w:r w:rsidR="003D0D0A">
        <w:rPr>
          <w:lang w:val="en-US"/>
        </w:rPr>
        <w:t xml:space="preserve"> T Colton &amp; P </w:t>
      </w:r>
      <w:proofErr w:type="spellStart"/>
      <w:r w:rsidR="003D0D0A">
        <w:rPr>
          <w:lang w:val="en-US"/>
        </w:rPr>
        <w:t>Armitage</w:t>
      </w:r>
      <w:proofErr w:type="spellEnd"/>
      <w:r w:rsidR="003D0D0A" w:rsidRPr="008B4200">
        <w:rPr>
          <w:lang w:val="en-US"/>
        </w:rPr>
        <w:t xml:space="preserve">, </w:t>
      </w:r>
      <w:r w:rsidRPr="008B4200">
        <w:rPr>
          <w:lang w:val="en-US"/>
        </w:rPr>
        <w:t>Wiley</w:t>
      </w:r>
      <w:r>
        <w:rPr>
          <w:lang w:val="en-US"/>
        </w:rPr>
        <w:t>, New York,</w:t>
      </w:r>
      <w:r w:rsidRPr="008B4200">
        <w:rPr>
          <w:lang w:val="en-US"/>
        </w:rPr>
        <w:t xml:space="preserve"> </w:t>
      </w:r>
      <w:r>
        <w:rPr>
          <w:lang w:val="en-US"/>
        </w:rPr>
        <w:t>pp.3551—5</w:t>
      </w:r>
      <w:r w:rsidR="008B4200" w:rsidRPr="008B4200">
        <w:rPr>
          <w:lang w:val="en-US"/>
        </w:rPr>
        <w:t>.</w:t>
      </w:r>
    </w:p>
    <w:p w:rsidR="00B924A5" w:rsidRDefault="005A6CAD" w:rsidP="00B924A5">
      <w:pPr>
        <w:pStyle w:val="References"/>
        <w:rPr>
          <w:lang w:val="en-US"/>
        </w:rPr>
      </w:pPr>
      <w:r>
        <w:rPr>
          <w:lang w:val="de-DE"/>
        </w:rPr>
        <w:t>Rosenbaum, PR &amp; Rubin, DB</w:t>
      </w:r>
      <w:r w:rsidR="00C850E0">
        <w:rPr>
          <w:lang w:val="de-DE"/>
        </w:rPr>
        <w:t xml:space="preserve"> 1983, </w:t>
      </w:r>
      <w:r w:rsidR="00C850E0">
        <w:rPr>
          <w:lang w:val="en-US"/>
        </w:rPr>
        <w:t>‘</w:t>
      </w:r>
      <w:r w:rsidR="00C850E0">
        <w:rPr>
          <w:lang w:val="de-DE"/>
        </w:rPr>
        <w:t>T</w:t>
      </w:r>
      <w:r w:rsidR="00B924A5" w:rsidRPr="00B924A5">
        <w:rPr>
          <w:lang w:val="en-US"/>
        </w:rPr>
        <w:t>he central role of the propensity score in observati</w:t>
      </w:r>
      <w:r w:rsidR="00B924A5">
        <w:rPr>
          <w:lang w:val="en-US"/>
        </w:rPr>
        <w:t>onal studies for causal effects</w:t>
      </w:r>
      <w:r>
        <w:rPr>
          <w:lang w:val="en-US"/>
        </w:rPr>
        <w:t>’</w:t>
      </w:r>
      <w:r w:rsidR="00B924A5">
        <w:rPr>
          <w:lang w:val="en-US"/>
        </w:rPr>
        <w:t>,</w:t>
      </w:r>
      <w:r w:rsidR="00B924A5" w:rsidRPr="00B924A5">
        <w:rPr>
          <w:lang w:val="en-US"/>
        </w:rPr>
        <w:t xml:space="preserve"> </w:t>
      </w:r>
      <w:proofErr w:type="spellStart"/>
      <w:r w:rsidR="00B924A5" w:rsidRPr="00B924A5">
        <w:rPr>
          <w:i/>
          <w:lang w:val="en-US"/>
        </w:rPr>
        <w:t>Biometrika</w:t>
      </w:r>
      <w:proofErr w:type="spellEnd"/>
      <w:r w:rsidR="00B924A5" w:rsidRPr="00B924A5">
        <w:rPr>
          <w:i/>
          <w:lang w:val="en-US"/>
        </w:rPr>
        <w:t>,</w:t>
      </w:r>
      <w:r w:rsidR="00B924A5" w:rsidRPr="005A6CAD">
        <w:rPr>
          <w:lang w:val="en-US"/>
        </w:rPr>
        <w:t xml:space="preserve"> </w:t>
      </w:r>
      <w:r>
        <w:rPr>
          <w:lang w:val="en-US"/>
        </w:rPr>
        <w:t>vol.</w:t>
      </w:r>
      <w:r w:rsidR="00B924A5" w:rsidRPr="005A6CAD">
        <w:rPr>
          <w:lang w:val="en-US"/>
        </w:rPr>
        <w:t>70</w:t>
      </w:r>
      <w:r w:rsidR="00B924A5" w:rsidRPr="00B924A5">
        <w:rPr>
          <w:lang w:val="en-US"/>
        </w:rPr>
        <w:t xml:space="preserve">, </w:t>
      </w:r>
      <w:r w:rsidR="00C850E0">
        <w:rPr>
          <w:lang w:val="en-US"/>
        </w:rPr>
        <w:t xml:space="preserve">no.1, </w:t>
      </w:r>
      <w:r>
        <w:rPr>
          <w:lang w:val="en-US"/>
        </w:rPr>
        <w:t>pp.41—</w:t>
      </w:r>
      <w:r w:rsidR="00B924A5" w:rsidRPr="00B924A5">
        <w:rPr>
          <w:lang w:val="en-US"/>
        </w:rPr>
        <w:t>55.</w:t>
      </w:r>
    </w:p>
    <w:p w:rsidR="008B4200" w:rsidRPr="008B4200" w:rsidRDefault="004B1759" w:rsidP="008B4200">
      <w:pPr>
        <w:pStyle w:val="References"/>
        <w:rPr>
          <w:bCs/>
          <w:lang w:val="en-US"/>
        </w:rPr>
      </w:pPr>
      <w:r>
        <w:rPr>
          <w:lang w:val="en-US"/>
        </w:rPr>
        <w:t>——</w:t>
      </w:r>
      <w:r w:rsidR="008B4200">
        <w:rPr>
          <w:lang w:val="en-US"/>
        </w:rPr>
        <w:t>1985,</w:t>
      </w:r>
      <w:r w:rsidR="008B4200" w:rsidRPr="008B4200">
        <w:rPr>
          <w:lang w:val="en-US"/>
        </w:rPr>
        <w:t xml:space="preserve"> </w:t>
      </w:r>
      <w:r w:rsidR="005A6CAD">
        <w:rPr>
          <w:lang w:val="en-US"/>
        </w:rPr>
        <w:t>‘</w:t>
      </w:r>
      <w:r w:rsidR="008B4200" w:rsidRPr="008B4200">
        <w:rPr>
          <w:bCs/>
          <w:lang w:val="en-US"/>
        </w:rPr>
        <w:t>Constructing a control group using multivariate matched sampling methods that i</w:t>
      </w:r>
      <w:r w:rsidR="008B4200">
        <w:rPr>
          <w:bCs/>
          <w:lang w:val="en-US"/>
        </w:rPr>
        <w:t>ncorporate the propensity score</w:t>
      </w:r>
      <w:r w:rsidR="005A6CAD">
        <w:rPr>
          <w:bCs/>
          <w:lang w:val="en-US"/>
        </w:rPr>
        <w:t>’</w:t>
      </w:r>
      <w:r w:rsidR="008B4200">
        <w:rPr>
          <w:bCs/>
          <w:lang w:val="en-US"/>
        </w:rPr>
        <w:t>,</w:t>
      </w:r>
      <w:r w:rsidR="008B4200" w:rsidRPr="008B4200">
        <w:rPr>
          <w:bCs/>
          <w:lang w:val="en-US"/>
        </w:rPr>
        <w:t xml:space="preserve"> </w:t>
      </w:r>
      <w:r w:rsidR="008B4200" w:rsidRPr="008B4200">
        <w:rPr>
          <w:bCs/>
          <w:i/>
          <w:lang w:val="en-US"/>
        </w:rPr>
        <w:t>The American Statistician</w:t>
      </w:r>
      <w:r w:rsidR="008B4200" w:rsidRPr="005A6CAD">
        <w:rPr>
          <w:bCs/>
          <w:lang w:val="en-US"/>
        </w:rPr>
        <w:t xml:space="preserve">, </w:t>
      </w:r>
      <w:r w:rsidR="005A6CAD">
        <w:rPr>
          <w:bCs/>
          <w:lang w:val="en-US"/>
        </w:rPr>
        <w:t>vol.</w:t>
      </w:r>
      <w:r w:rsidR="008B4200" w:rsidRPr="005A6CAD">
        <w:rPr>
          <w:bCs/>
          <w:lang w:val="en-US"/>
        </w:rPr>
        <w:t xml:space="preserve">39, </w:t>
      </w:r>
      <w:r w:rsidR="00C850E0">
        <w:rPr>
          <w:bCs/>
          <w:lang w:val="en-US"/>
        </w:rPr>
        <w:t xml:space="preserve">no.1, </w:t>
      </w:r>
      <w:r w:rsidR="005A6CAD">
        <w:rPr>
          <w:bCs/>
          <w:lang w:val="en-US"/>
        </w:rPr>
        <w:t>pp.33—</w:t>
      </w:r>
      <w:r w:rsidR="008B4200" w:rsidRPr="008B4200">
        <w:rPr>
          <w:bCs/>
          <w:lang w:val="en-US"/>
        </w:rPr>
        <w:t>8.</w:t>
      </w:r>
    </w:p>
    <w:p w:rsidR="00B924A5" w:rsidRPr="00B924A5" w:rsidRDefault="005A6CAD" w:rsidP="00B924A5">
      <w:pPr>
        <w:pStyle w:val="References"/>
        <w:rPr>
          <w:lang w:val="en-US"/>
        </w:rPr>
      </w:pPr>
      <w:proofErr w:type="gramStart"/>
      <w:r>
        <w:rPr>
          <w:lang w:val="en-US"/>
        </w:rPr>
        <w:t>Rubin, DB</w:t>
      </w:r>
      <w:r w:rsidR="00B924A5">
        <w:rPr>
          <w:lang w:val="en-US"/>
        </w:rPr>
        <w:t xml:space="preserve"> 1977,</w:t>
      </w:r>
      <w:r w:rsidR="00B924A5" w:rsidRPr="00B924A5">
        <w:rPr>
          <w:lang w:val="en-US"/>
        </w:rPr>
        <w:t xml:space="preserve"> </w:t>
      </w:r>
      <w:r>
        <w:rPr>
          <w:lang w:val="en-US"/>
        </w:rPr>
        <w:t>‘</w:t>
      </w:r>
      <w:r w:rsidR="00B924A5" w:rsidRPr="00B924A5">
        <w:rPr>
          <w:lang w:val="en-US"/>
        </w:rPr>
        <w:t>Assignment to treatment gr</w:t>
      </w:r>
      <w:r w:rsidR="00B924A5">
        <w:rPr>
          <w:lang w:val="en-US"/>
        </w:rPr>
        <w:t>oup on the basis of a covariate</w:t>
      </w:r>
      <w:r>
        <w:rPr>
          <w:lang w:val="en-US"/>
        </w:rPr>
        <w:t>’</w:t>
      </w:r>
      <w:r w:rsidR="00B924A5">
        <w:rPr>
          <w:lang w:val="en-US"/>
        </w:rPr>
        <w:t>,</w:t>
      </w:r>
      <w:r w:rsidR="00B924A5" w:rsidRPr="00B924A5">
        <w:rPr>
          <w:lang w:val="en-US"/>
        </w:rPr>
        <w:t xml:space="preserve"> </w:t>
      </w:r>
      <w:r w:rsidR="00B924A5" w:rsidRPr="00B924A5">
        <w:rPr>
          <w:i/>
          <w:lang w:val="en-US"/>
        </w:rPr>
        <w:t xml:space="preserve">Journal of Educational Statistics, </w:t>
      </w:r>
      <w:r w:rsidR="004B1759">
        <w:rPr>
          <w:lang w:val="en-US"/>
        </w:rPr>
        <w:t>vol.</w:t>
      </w:r>
      <w:r w:rsidR="00B924A5" w:rsidRPr="004B1759">
        <w:rPr>
          <w:lang w:val="en-US"/>
        </w:rPr>
        <w:t>2,</w:t>
      </w:r>
      <w:r w:rsidR="00B924A5" w:rsidRPr="00B924A5">
        <w:rPr>
          <w:lang w:val="en-US"/>
        </w:rPr>
        <w:t xml:space="preserve"> </w:t>
      </w:r>
      <w:r w:rsidR="00C850E0">
        <w:rPr>
          <w:lang w:val="en-US"/>
        </w:rPr>
        <w:t xml:space="preserve">no.1, </w:t>
      </w:r>
      <w:r w:rsidR="004B1759">
        <w:rPr>
          <w:lang w:val="en-US"/>
        </w:rPr>
        <w:t>pp.1—</w:t>
      </w:r>
      <w:r w:rsidR="00B924A5" w:rsidRPr="00B924A5">
        <w:rPr>
          <w:lang w:val="en-US"/>
        </w:rPr>
        <w:t>26.</w:t>
      </w:r>
      <w:proofErr w:type="gramEnd"/>
    </w:p>
    <w:p w:rsidR="00BE4416" w:rsidRDefault="00F23FDD" w:rsidP="00F23FDD">
      <w:pPr>
        <w:pStyle w:val="References"/>
      </w:pPr>
      <w:proofErr w:type="spellStart"/>
      <w:r w:rsidRPr="00213448">
        <w:t>Sala</w:t>
      </w:r>
      <w:proofErr w:type="spellEnd"/>
      <w:r w:rsidR="004B1759">
        <w:t>,</w:t>
      </w:r>
      <w:r w:rsidRPr="00213448">
        <w:t xml:space="preserve"> E,</w:t>
      </w:r>
      <w:r w:rsidR="005B1940">
        <w:t xml:space="preserve"> Burton</w:t>
      </w:r>
      <w:r w:rsidR="004B1759">
        <w:t>,</w:t>
      </w:r>
      <w:r w:rsidR="005B1940">
        <w:t xml:space="preserve"> J &amp; </w:t>
      </w:r>
      <w:proofErr w:type="spellStart"/>
      <w:r w:rsidR="005B1940">
        <w:t>Knies</w:t>
      </w:r>
      <w:proofErr w:type="spellEnd"/>
      <w:r w:rsidR="004B1759">
        <w:t>, G</w:t>
      </w:r>
      <w:r w:rsidR="005B1940">
        <w:t xml:space="preserve"> 2012</w:t>
      </w:r>
      <w:r w:rsidRPr="00213448">
        <w:t xml:space="preserve">, </w:t>
      </w:r>
      <w:r w:rsidR="004B1759">
        <w:t>‘</w:t>
      </w:r>
      <w:r w:rsidRPr="00213448">
        <w:t>Correlates of obtaining informed consent to data linkage: respondent, interview and interviewer characteristics</w:t>
      </w:r>
      <w:r w:rsidR="004B1759">
        <w:t>’</w:t>
      </w:r>
      <w:r w:rsidRPr="00213448">
        <w:t xml:space="preserve">, </w:t>
      </w:r>
      <w:r w:rsidRPr="00213448">
        <w:rPr>
          <w:i/>
        </w:rPr>
        <w:t>Sociological Methods &amp; Research</w:t>
      </w:r>
      <w:r w:rsidR="005B1940">
        <w:rPr>
          <w:i/>
        </w:rPr>
        <w:t>,</w:t>
      </w:r>
      <w:r w:rsidR="004B1759">
        <w:rPr>
          <w:i/>
        </w:rPr>
        <w:t xml:space="preserve"> </w:t>
      </w:r>
      <w:r w:rsidR="004B1759">
        <w:t>vol.</w:t>
      </w:r>
      <w:r w:rsidR="005B1940">
        <w:t xml:space="preserve">41, </w:t>
      </w:r>
      <w:r w:rsidR="00C850E0">
        <w:t xml:space="preserve">no.3, </w:t>
      </w:r>
      <w:r w:rsidR="004B1759">
        <w:t>pp.414—</w:t>
      </w:r>
      <w:r w:rsidR="005B1940">
        <w:t>39</w:t>
      </w:r>
      <w:r w:rsidRPr="00213448">
        <w:t>.</w:t>
      </w:r>
    </w:p>
    <w:p w:rsidR="009D3E5F" w:rsidRPr="00213448" w:rsidRDefault="009D3E5F" w:rsidP="009D3E5F">
      <w:pPr>
        <w:pStyle w:val="References"/>
      </w:pPr>
      <w:proofErr w:type="spellStart"/>
      <w:r>
        <w:t>Sanson</w:t>
      </w:r>
      <w:proofErr w:type="spellEnd"/>
      <w:r>
        <w:t xml:space="preserve">, A, Nicholson, J, </w:t>
      </w:r>
      <w:proofErr w:type="spellStart"/>
      <w:r>
        <w:t>Ungerer</w:t>
      </w:r>
      <w:proofErr w:type="spellEnd"/>
      <w:r>
        <w:t xml:space="preserve">, J, </w:t>
      </w:r>
      <w:proofErr w:type="spellStart"/>
      <w:r>
        <w:t>Zubrick</w:t>
      </w:r>
      <w:proofErr w:type="spellEnd"/>
      <w:r>
        <w:t>,</w:t>
      </w:r>
      <w:r w:rsidR="004B1759">
        <w:t xml:space="preserve"> S, Wilson, K, </w:t>
      </w:r>
      <w:proofErr w:type="spellStart"/>
      <w:r w:rsidR="004B1759">
        <w:t>Ainley</w:t>
      </w:r>
      <w:proofErr w:type="spellEnd"/>
      <w:r w:rsidR="004B1759">
        <w:t>, J et al.</w:t>
      </w:r>
      <w:r>
        <w:t xml:space="preserve"> 2002, </w:t>
      </w:r>
      <w:r w:rsidRPr="009D3E5F">
        <w:rPr>
          <w:i/>
        </w:rPr>
        <w:t>Introducing the Longitudinal Study of Australian Children</w:t>
      </w:r>
      <w:r>
        <w:t xml:space="preserve">, </w:t>
      </w:r>
      <w:r w:rsidR="004B1759" w:rsidRPr="00C850E0">
        <w:t xml:space="preserve">viewed </w:t>
      </w:r>
      <w:r w:rsidR="00C850E0">
        <w:t>16 November 2012,</w:t>
      </w:r>
      <w:r>
        <w:t xml:space="preserve"> </w:t>
      </w:r>
      <w:r w:rsidR="004B1759">
        <w:t>&lt;</w:t>
      </w:r>
      <w:r w:rsidRPr="009D3E5F">
        <w:t>www.aifs.gov.au/growingup/pubs/discussion/</w:t>
      </w:r>
      <w:r w:rsidR="003D0D0A">
        <w:t xml:space="preserve"> </w:t>
      </w:r>
      <w:r w:rsidRPr="009D3E5F">
        <w:t>dp1/discussionpaper1.pdf</w:t>
      </w:r>
      <w:r w:rsidR="004B1759">
        <w:t>&gt;.</w:t>
      </w:r>
    </w:p>
    <w:p w:rsidR="00B924A5" w:rsidRDefault="004B1759" w:rsidP="00011184">
      <w:pPr>
        <w:pStyle w:val="References"/>
        <w:rPr>
          <w:lang w:val="en-US"/>
        </w:rPr>
      </w:pPr>
      <w:r>
        <w:rPr>
          <w:lang w:val="en-US"/>
        </w:rPr>
        <w:t>Schafer, JL</w:t>
      </w:r>
      <w:r w:rsidR="00B924A5">
        <w:rPr>
          <w:lang w:val="en-US"/>
        </w:rPr>
        <w:t xml:space="preserve"> 1997,</w:t>
      </w:r>
      <w:r w:rsidR="00B924A5" w:rsidRPr="00B924A5">
        <w:rPr>
          <w:lang w:val="en-US"/>
        </w:rPr>
        <w:t xml:space="preserve"> </w:t>
      </w:r>
      <w:r w:rsidR="00B924A5" w:rsidRPr="00B924A5">
        <w:rPr>
          <w:i/>
          <w:iCs/>
          <w:lang w:val="en-US"/>
        </w:rPr>
        <w:t>Analysis of incomplete multivariate data</w:t>
      </w:r>
      <w:r w:rsidR="00011184">
        <w:rPr>
          <w:lang w:val="en-US"/>
        </w:rPr>
        <w:t>,</w:t>
      </w:r>
      <w:r>
        <w:rPr>
          <w:lang w:val="en-US"/>
        </w:rPr>
        <w:t xml:space="preserve"> </w:t>
      </w:r>
      <w:r w:rsidR="00B924A5" w:rsidRPr="00B924A5">
        <w:rPr>
          <w:lang w:val="en-US"/>
        </w:rPr>
        <w:t>Chapman &amp; Hall</w:t>
      </w:r>
      <w:r>
        <w:rPr>
          <w:lang w:val="en-US"/>
        </w:rPr>
        <w:t>,</w:t>
      </w:r>
      <w:r w:rsidRPr="004B1759">
        <w:rPr>
          <w:lang w:val="en-US"/>
        </w:rPr>
        <w:t xml:space="preserve"> </w:t>
      </w:r>
      <w:r w:rsidRPr="00B924A5">
        <w:rPr>
          <w:lang w:val="en-US"/>
        </w:rPr>
        <w:t>Boca Raton</w:t>
      </w:r>
      <w:r w:rsidR="00B924A5" w:rsidRPr="00B924A5">
        <w:rPr>
          <w:lang w:val="en-US"/>
        </w:rPr>
        <w:t>.</w:t>
      </w:r>
    </w:p>
    <w:p w:rsidR="00887DFE" w:rsidRPr="00887DFE" w:rsidRDefault="004B1759" w:rsidP="00887DFE">
      <w:pPr>
        <w:pStyle w:val="References"/>
        <w:rPr>
          <w:lang w:val="en-US"/>
        </w:rPr>
      </w:pPr>
      <w:r>
        <w:rPr>
          <w:lang w:val="en-US"/>
        </w:rPr>
        <w:t>Smith, JA &amp; Todd, PE</w:t>
      </w:r>
      <w:r w:rsidR="00887DFE">
        <w:rPr>
          <w:lang w:val="en-US"/>
        </w:rPr>
        <w:t xml:space="preserve"> 2005,</w:t>
      </w:r>
      <w:r w:rsidR="00887DFE" w:rsidRPr="00887DFE">
        <w:rPr>
          <w:lang w:val="en-US"/>
        </w:rPr>
        <w:t xml:space="preserve"> </w:t>
      </w:r>
      <w:r>
        <w:rPr>
          <w:lang w:val="en-US"/>
        </w:rPr>
        <w:t>‘</w:t>
      </w:r>
      <w:r w:rsidR="00887DFE" w:rsidRPr="00887DFE">
        <w:rPr>
          <w:lang w:val="en-US"/>
        </w:rPr>
        <w:t xml:space="preserve">Does matching overcome </w:t>
      </w:r>
      <w:proofErr w:type="spellStart"/>
      <w:r w:rsidR="00887DFE" w:rsidRPr="00887DFE">
        <w:rPr>
          <w:lang w:val="en-US"/>
        </w:rPr>
        <w:t>LaLonde’s</w:t>
      </w:r>
      <w:proofErr w:type="spellEnd"/>
      <w:r w:rsidR="00887DFE" w:rsidRPr="00887DFE">
        <w:rPr>
          <w:lang w:val="en-US"/>
        </w:rPr>
        <w:t xml:space="preserve"> critique of </w:t>
      </w:r>
      <w:proofErr w:type="spellStart"/>
      <w:r w:rsidR="00887DFE" w:rsidRPr="00887DFE">
        <w:rPr>
          <w:lang w:val="en-US"/>
        </w:rPr>
        <w:t>nonexperimental</w:t>
      </w:r>
      <w:proofErr w:type="spellEnd"/>
      <w:r w:rsidR="00887DFE" w:rsidRPr="00887DFE">
        <w:rPr>
          <w:lang w:val="en-US"/>
        </w:rPr>
        <w:t xml:space="preserve"> estimators?</w:t>
      </w:r>
      <w:proofErr w:type="gramStart"/>
      <w:r w:rsidR="003D0D0A">
        <w:rPr>
          <w:lang w:val="en-US"/>
        </w:rPr>
        <w:t>’</w:t>
      </w:r>
      <w:r>
        <w:rPr>
          <w:lang w:val="en-US"/>
        </w:rPr>
        <w:t>,</w:t>
      </w:r>
      <w:proofErr w:type="gramEnd"/>
      <w:r w:rsidR="00887DFE" w:rsidRPr="00887DFE">
        <w:rPr>
          <w:lang w:val="en-US"/>
        </w:rPr>
        <w:t xml:space="preserve"> </w:t>
      </w:r>
      <w:r w:rsidR="00887DFE" w:rsidRPr="00887DFE">
        <w:rPr>
          <w:i/>
          <w:lang w:val="en-US"/>
        </w:rPr>
        <w:t>Journal of Econometrics</w:t>
      </w:r>
      <w:r w:rsidR="00887DFE" w:rsidRPr="004B1759">
        <w:rPr>
          <w:lang w:val="en-US"/>
        </w:rPr>
        <w:t xml:space="preserve">, </w:t>
      </w:r>
      <w:r>
        <w:rPr>
          <w:lang w:val="en-US"/>
        </w:rPr>
        <w:t>vol.</w:t>
      </w:r>
      <w:r w:rsidR="00887DFE" w:rsidRPr="004B1759">
        <w:rPr>
          <w:lang w:val="en-US"/>
        </w:rPr>
        <w:t>125,</w:t>
      </w:r>
      <w:r w:rsidR="00887DFE" w:rsidRPr="00887DFE">
        <w:rPr>
          <w:lang w:val="en-US"/>
        </w:rPr>
        <w:t xml:space="preserve"> </w:t>
      </w:r>
      <w:r w:rsidR="00C850E0">
        <w:rPr>
          <w:lang w:val="en-US"/>
        </w:rPr>
        <w:t>no.</w:t>
      </w:r>
      <w:r w:rsidR="003D0D0A">
        <w:rPr>
          <w:lang w:val="en-US"/>
        </w:rPr>
        <w:t>1—2</w:t>
      </w:r>
      <w:r w:rsidR="00C850E0">
        <w:rPr>
          <w:lang w:val="en-US"/>
        </w:rPr>
        <w:t xml:space="preserve">, </w:t>
      </w:r>
      <w:r>
        <w:rPr>
          <w:lang w:val="en-US"/>
        </w:rPr>
        <w:t>pp.305—</w:t>
      </w:r>
      <w:r w:rsidR="00887DFE" w:rsidRPr="00887DFE">
        <w:rPr>
          <w:lang w:val="en-US"/>
        </w:rPr>
        <w:t>53.</w:t>
      </w:r>
    </w:p>
    <w:p w:rsidR="001D714E" w:rsidRDefault="001D714E" w:rsidP="004C7039">
      <w:pPr>
        <w:pStyle w:val="References"/>
      </w:pPr>
      <w:proofErr w:type="spellStart"/>
      <w:r>
        <w:t>Soloff</w:t>
      </w:r>
      <w:proofErr w:type="spellEnd"/>
      <w:r>
        <w:t xml:space="preserve">, C, </w:t>
      </w:r>
      <w:proofErr w:type="spellStart"/>
      <w:r>
        <w:t>Sanson</w:t>
      </w:r>
      <w:proofErr w:type="spellEnd"/>
      <w:r>
        <w:t>, A, W</w:t>
      </w:r>
      <w:r w:rsidR="004B1759">
        <w:t>ake, M &amp; Harrison, L</w:t>
      </w:r>
      <w:r>
        <w:t xml:space="preserve"> 2007, </w:t>
      </w:r>
      <w:r w:rsidR="004B1759">
        <w:t>‘</w:t>
      </w:r>
      <w:r>
        <w:t>Enhancing longitudinal studies by linkage to national databases: growing up in Australia, the Longitudinal Study of Australian Children</w:t>
      </w:r>
      <w:r w:rsidR="004B1759">
        <w:t>’</w:t>
      </w:r>
      <w:r>
        <w:t xml:space="preserve">, </w:t>
      </w:r>
      <w:r w:rsidRPr="001D714E">
        <w:rPr>
          <w:i/>
        </w:rPr>
        <w:t>International Journal of Social Research Methodology</w:t>
      </w:r>
      <w:r w:rsidRPr="004B1759">
        <w:t xml:space="preserve">, </w:t>
      </w:r>
      <w:r w:rsidR="004B1759">
        <w:t>vol.</w:t>
      </w:r>
      <w:r w:rsidRPr="004B1759">
        <w:t>10,</w:t>
      </w:r>
      <w:r>
        <w:t xml:space="preserve"> </w:t>
      </w:r>
      <w:r w:rsidR="00C850E0">
        <w:t xml:space="preserve">no.5, </w:t>
      </w:r>
      <w:r w:rsidR="004B1759">
        <w:t>pp.349—</w:t>
      </w:r>
      <w:r>
        <w:t>63.</w:t>
      </w:r>
    </w:p>
    <w:p w:rsidR="00704D16" w:rsidRPr="00213448" w:rsidRDefault="004C7039" w:rsidP="004C7039">
      <w:pPr>
        <w:pStyle w:val="References"/>
      </w:pPr>
      <w:r w:rsidRPr="00213448">
        <w:t>Swedish Centre for Epide</w:t>
      </w:r>
      <w:r w:rsidR="004B1759">
        <w:t>miology</w:t>
      </w:r>
      <w:r w:rsidRPr="00213448">
        <w:t xml:space="preserve"> 2003, </w:t>
      </w:r>
      <w:r w:rsidRPr="00CF1995">
        <w:rPr>
          <w:i/>
        </w:rPr>
        <w:t>The Swedish medical birth register: a</w:t>
      </w:r>
      <w:r w:rsidR="00704D16" w:rsidRPr="00CF1995">
        <w:rPr>
          <w:i/>
        </w:rPr>
        <w:t xml:space="preserve"> </w:t>
      </w:r>
      <w:r w:rsidRPr="00CF1995">
        <w:rPr>
          <w:i/>
        </w:rPr>
        <w:t>summary of content and q</w:t>
      </w:r>
      <w:r w:rsidR="00704D16" w:rsidRPr="00CF1995">
        <w:rPr>
          <w:i/>
        </w:rPr>
        <w:t>uality</w:t>
      </w:r>
      <w:r w:rsidRPr="00213448">
        <w:t xml:space="preserve">, </w:t>
      </w:r>
      <w:r w:rsidR="004B1759" w:rsidRPr="00C850E0">
        <w:t xml:space="preserve">viewed </w:t>
      </w:r>
      <w:r w:rsidR="00C850E0">
        <w:t>18 November 2012,</w:t>
      </w:r>
      <w:r w:rsidR="004B1759">
        <w:t xml:space="preserve"> &lt;</w:t>
      </w:r>
      <w:r w:rsidRPr="00213448">
        <w:t>www.socialstyrelsen.se/Lists/Artikelkatalog/Attachments/10655/2003-112-3_20031123.pdf</w:t>
      </w:r>
      <w:r w:rsidR="004B1759">
        <w:t>&gt;.</w:t>
      </w:r>
    </w:p>
    <w:p w:rsidR="00EB1AAA" w:rsidRDefault="00EB1AAA" w:rsidP="00EB1AAA">
      <w:pPr>
        <w:pStyle w:val="References"/>
      </w:pPr>
      <w:r>
        <w:t xml:space="preserve">Tromp, M, </w:t>
      </w:r>
      <w:proofErr w:type="spellStart"/>
      <w:r>
        <w:t>Ravelli</w:t>
      </w:r>
      <w:proofErr w:type="spellEnd"/>
      <w:r>
        <w:t xml:space="preserve">, AC, </w:t>
      </w:r>
      <w:proofErr w:type="spellStart"/>
      <w:r>
        <w:t>Bons</w:t>
      </w:r>
      <w:r w:rsidR="004B1759">
        <w:t>el</w:t>
      </w:r>
      <w:proofErr w:type="spellEnd"/>
      <w:r w:rsidR="004B1759">
        <w:t xml:space="preserve">, GJ, </w:t>
      </w:r>
      <w:proofErr w:type="spellStart"/>
      <w:r w:rsidR="004B1759">
        <w:t>Hasman</w:t>
      </w:r>
      <w:proofErr w:type="spellEnd"/>
      <w:r w:rsidR="004B1759">
        <w:t xml:space="preserve">, A &amp; </w:t>
      </w:r>
      <w:proofErr w:type="spellStart"/>
      <w:r w:rsidR="004B1759">
        <w:t>Reitsma</w:t>
      </w:r>
      <w:proofErr w:type="spellEnd"/>
      <w:r w:rsidR="004B1759">
        <w:t>, JB</w:t>
      </w:r>
      <w:r>
        <w:t xml:space="preserve"> 2011, </w:t>
      </w:r>
      <w:r w:rsidR="004B1759">
        <w:t>‘</w:t>
      </w:r>
      <w:r w:rsidRPr="00EB1AAA">
        <w:t>Results from simulated data sets: probabilistic record linkage outperforms deterministic record linkage</w:t>
      </w:r>
      <w:r w:rsidR="004B1759">
        <w:t>’</w:t>
      </w:r>
      <w:r>
        <w:t xml:space="preserve">, </w:t>
      </w:r>
      <w:r w:rsidRPr="00EB1AAA">
        <w:rPr>
          <w:i/>
        </w:rPr>
        <w:t>Journal of Clinical Epidemiology</w:t>
      </w:r>
      <w:r w:rsidRPr="004B1759">
        <w:t xml:space="preserve">, </w:t>
      </w:r>
      <w:r w:rsidR="004B1759">
        <w:t>vol.</w:t>
      </w:r>
      <w:r w:rsidRPr="004B1759">
        <w:t>64,</w:t>
      </w:r>
      <w:r>
        <w:t xml:space="preserve"> </w:t>
      </w:r>
      <w:r w:rsidR="00C850E0">
        <w:t xml:space="preserve">no.5, </w:t>
      </w:r>
      <w:r w:rsidR="004B1759">
        <w:t>pp.565—</w:t>
      </w:r>
      <w:r>
        <w:t>72.</w:t>
      </w:r>
    </w:p>
    <w:p w:rsidR="00CE424D" w:rsidRPr="00213448" w:rsidRDefault="004B1759" w:rsidP="004C7039">
      <w:pPr>
        <w:pStyle w:val="References"/>
      </w:pPr>
      <w:proofErr w:type="gramStart"/>
      <w:r>
        <w:t>University of Manitoba</w:t>
      </w:r>
      <w:r w:rsidR="00CE424D" w:rsidRPr="00213448">
        <w:t xml:space="preserve"> 2012, </w:t>
      </w:r>
      <w:r w:rsidR="00CE424D" w:rsidRPr="00CF1995">
        <w:rPr>
          <w:i/>
        </w:rPr>
        <w:t>Manitoba population health research data repository list of linked databases</w:t>
      </w:r>
      <w:r w:rsidR="00CE424D" w:rsidRPr="00213448">
        <w:t xml:space="preserve">, </w:t>
      </w:r>
      <w:r w:rsidRPr="00C850E0">
        <w:t xml:space="preserve">viewed </w:t>
      </w:r>
      <w:r w:rsidR="00C850E0">
        <w:t>18 November 2012,</w:t>
      </w:r>
      <w:r w:rsidR="00CE424D" w:rsidRPr="00213448">
        <w:t xml:space="preserve"> </w:t>
      </w:r>
      <w:r>
        <w:t>&lt;</w:t>
      </w:r>
      <w:r w:rsidR="00CE424D" w:rsidRPr="00213448">
        <w:t>http://umanitoba.ca/faculties/medicine/units/mchp/protocol/media/</w:t>
      </w:r>
      <w:r w:rsidR="003D0D0A">
        <w:t xml:space="preserve"> </w:t>
      </w:r>
      <w:r w:rsidR="00CE424D" w:rsidRPr="00213448">
        <w:t>database_list_colour.pdf</w:t>
      </w:r>
      <w:r>
        <w:t>&gt;.</w:t>
      </w:r>
      <w:proofErr w:type="gramEnd"/>
    </w:p>
    <w:p w:rsidR="003A2246" w:rsidRDefault="003A2246" w:rsidP="004C7039">
      <w:pPr>
        <w:pStyle w:val="References"/>
      </w:pPr>
      <w:r>
        <w:t xml:space="preserve">Van </w:t>
      </w:r>
      <w:proofErr w:type="spellStart"/>
      <w:r>
        <w:t>G</w:t>
      </w:r>
      <w:r w:rsidR="002A0A65">
        <w:t>ool</w:t>
      </w:r>
      <w:proofErr w:type="spellEnd"/>
      <w:r w:rsidR="002A0A65">
        <w:t>, K, Parkinson, B &amp; Kenny, P</w:t>
      </w:r>
      <w:r>
        <w:t xml:space="preserve"> 2011, </w:t>
      </w:r>
      <w:r w:rsidRPr="003A2246">
        <w:rPr>
          <w:i/>
        </w:rPr>
        <w:t>Medicare Australia data for research: an introduction</w:t>
      </w:r>
      <w:r w:rsidR="002A0A65">
        <w:t xml:space="preserve">, </w:t>
      </w:r>
      <w:r>
        <w:t xml:space="preserve">Centre for Health Economics Research and </w:t>
      </w:r>
      <w:r w:rsidR="002A0A65">
        <w:t>Evaluation,</w:t>
      </w:r>
      <w:r w:rsidR="002A0A65" w:rsidRPr="002A0A65">
        <w:t xml:space="preserve"> </w:t>
      </w:r>
      <w:r w:rsidR="002A0A65">
        <w:t>Sydney.</w:t>
      </w:r>
    </w:p>
    <w:p w:rsidR="009D3E5F" w:rsidRPr="00213448" w:rsidRDefault="009D3E5F" w:rsidP="004C7039">
      <w:pPr>
        <w:pStyle w:val="References"/>
      </w:pPr>
    </w:p>
    <w:bookmarkEnd w:id="18"/>
    <w:bookmarkEnd w:id="19"/>
    <w:bookmarkEnd w:id="20"/>
    <w:bookmarkEnd w:id="21"/>
    <w:p w:rsidR="002F0FB9" w:rsidRDefault="002F0FB9">
      <w:pPr>
        <w:spacing w:before="0" w:line="240" w:lineRule="auto"/>
        <w:rPr>
          <w:sz w:val="18"/>
        </w:rPr>
      </w:pPr>
      <w:r>
        <w:br w:type="page"/>
      </w:r>
    </w:p>
    <w:p w:rsidR="004B465A" w:rsidRDefault="002F0FB9" w:rsidP="002F0FB9">
      <w:pPr>
        <w:pStyle w:val="Heading1"/>
      </w:pPr>
      <w:bookmarkStart w:id="72" w:name="_Toc358811276"/>
      <w:r>
        <w:lastRenderedPageBreak/>
        <w:t>Appendix</w:t>
      </w:r>
      <w:bookmarkEnd w:id="72"/>
    </w:p>
    <w:p w:rsidR="00C35E14" w:rsidRPr="00213448" w:rsidRDefault="00C35E14" w:rsidP="00C35E14">
      <w:pPr>
        <w:pStyle w:val="Heading2"/>
      </w:pPr>
      <w:bookmarkStart w:id="73" w:name="_Toc358811277"/>
      <w:r>
        <w:t xml:space="preserve">Using propensity scores to implement </w:t>
      </w:r>
      <w:r w:rsidRPr="00213448">
        <w:t>statistical matching</w:t>
      </w:r>
      <w:bookmarkEnd w:id="73"/>
    </w:p>
    <w:p w:rsidR="002F0FB9" w:rsidRDefault="00C56723" w:rsidP="002F0FB9">
      <w:pPr>
        <w:pStyle w:val="Text"/>
      </w:pPr>
      <w:r>
        <w:t xml:space="preserve">Statistical matching is the process of combining records from different data sources on </w:t>
      </w:r>
      <w:r w:rsidRPr="004F4ED0">
        <w:t xml:space="preserve">different </w:t>
      </w:r>
      <w:r>
        <w:t xml:space="preserve">individuals. </w:t>
      </w:r>
      <w:r w:rsidR="00133160">
        <w:t xml:space="preserve">The </w:t>
      </w:r>
      <w:r w:rsidR="006310E3">
        <w:t xml:space="preserve">concept of </w:t>
      </w:r>
      <w:r w:rsidR="00EB4260">
        <w:t xml:space="preserve">statistical matching </w:t>
      </w:r>
      <w:r w:rsidR="006310E3">
        <w:t xml:space="preserve">is based on </w:t>
      </w:r>
      <w:r w:rsidR="002F0FB9">
        <w:t xml:space="preserve">combining information from </w:t>
      </w:r>
      <w:r w:rsidR="002F0FB9" w:rsidRPr="004F4ED0">
        <w:t xml:space="preserve">statistically similar </w:t>
      </w:r>
      <w:r w:rsidR="002F0FB9">
        <w:t>individuals from two differe</w:t>
      </w:r>
      <w:r w:rsidR="002E4C87">
        <w:t xml:space="preserve">nt datasets. </w:t>
      </w:r>
      <w:proofErr w:type="spellStart"/>
      <w:r w:rsidR="002E4C87">
        <w:t>Rasner</w:t>
      </w:r>
      <w:proofErr w:type="spellEnd"/>
      <w:r w:rsidR="002E4C87">
        <w:t xml:space="preserve">, Frick and </w:t>
      </w:r>
      <w:proofErr w:type="spellStart"/>
      <w:r w:rsidR="002E4C87">
        <w:t>Grabka</w:t>
      </w:r>
      <w:proofErr w:type="spellEnd"/>
      <w:r w:rsidR="002F0FB9">
        <w:t xml:space="preserve"> (2010) implemented the idea of</w:t>
      </w:r>
      <w:r w:rsidR="002F0FB9" w:rsidRPr="00B72ADD">
        <w:t xml:space="preserve"> statistical similarity </w:t>
      </w:r>
      <w:r w:rsidR="00EB4260">
        <w:t>via</w:t>
      </w:r>
      <w:r w:rsidR="002F0FB9">
        <w:t xml:space="preserve"> </w:t>
      </w:r>
      <w:proofErr w:type="spellStart"/>
      <w:r w:rsidR="002F0FB9">
        <w:t>Mahalanobis</w:t>
      </w:r>
      <w:proofErr w:type="spellEnd"/>
      <w:r w:rsidR="002F0FB9">
        <w:t xml:space="preserve"> distance matching, whereby for each individual </w:t>
      </w:r>
      <w:r w:rsidR="002F0FB9" w:rsidRPr="00B22BD4">
        <w:rPr>
          <w:i/>
        </w:rPr>
        <w:t>x</w:t>
      </w:r>
      <w:r w:rsidR="002F0FB9" w:rsidRPr="00B22BD4">
        <w:rPr>
          <w:i/>
          <w:vertAlign w:val="subscript"/>
        </w:rPr>
        <w:t>i</w:t>
      </w:r>
      <w:r w:rsidR="00EB4260">
        <w:t xml:space="preserve"> in </w:t>
      </w:r>
      <w:r w:rsidR="002F0FB9">
        <w:t xml:space="preserve">dataset </w:t>
      </w:r>
      <w:r w:rsidR="00EB4260" w:rsidRPr="00EB4260">
        <w:rPr>
          <w:i/>
        </w:rPr>
        <w:t>A</w:t>
      </w:r>
      <w:r w:rsidR="00EB4260">
        <w:t xml:space="preserve"> </w:t>
      </w:r>
      <w:proofErr w:type="spellStart"/>
      <w:r w:rsidR="002F0FB9">
        <w:t>a</w:t>
      </w:r>
      <w:proofErr w:type="spellEnd"/>
      <w:r w:rsidR="002F0FB9">
        <w:t xml:space="preserve"> </w:t>
      </w:r>
      <w:proofErr w:type="spellStart"/>
      <w:r w:rsidR="002F0FB9">
        <w:t>Mahalanobis</w:t>
      </w:r>
      <w:proofErr w:type="spellEnd"/>
      <w:r w:rsidR="002F0FB9">
        <w:t xml:space="preserve"> distance is calculated to each individual </w:t>
      </w:r>
      <w:proofErr w:type="spellStart"/>
      <w:r w:rsidR="002F0FB9" w:rsidRPr="00B22BD4">
        <w:rPr>
          <w:i/>
        </w:rPr>
        <w:t>x</w:t>
      </w:r>
      <w:r w:rsidR="002F0FB9" w:rsidRPr="00B22BD4">
        <w:rPr>
          <w:i/>
          <w:vertAlign w:val="subscript"/>
        </w:rPr>
        <w:t>j</w:t>
      </w:r>
      <w:proofErr w:type="spellEnd"/>
      <w:r w:rsidR="00EB4260">
        <w:t xml:space="preserve"> in </w:t>
      </w:r>
      <w:r w:rsidR="002F0FB9">
        <w:t xml:space="preserve">dataset </w:t>
      </w:r>
      <w:r w:rsidR="00EB4260" w:rsidRPr="00EB4260">
        <w:rPr>
          <w:i/>
        </w:rPr>
        <w:t>B</w:t>
      </w:r>
      <w:r w:rsidR="002E4C87">
        <w:t xml:space="preserve">, </w:t>
      </w:r>
      <w:r w:rsidR="002F0FB9">
        <w:t>based on a number of relevant background variables</w:t>
      </w:r>
      <w:r w:rsidR="00EB4260">
        <w:t xml:space="preserve">, or </w:t>
      </w:r>
      <w:r w:rsidR="00EB4260" w:rsidRPr="004F4ED0">
        <w:t>covariates</w:t>
      </w:r>
      <w:r w:rsidR="002F0FB9">
        <w:t>. Th</w:t>
      </w:r>
      <w:r w:rsidR="00EB4260">
        <w:t>ese covariates</w:t>
      </w:r>
      <w:r w:rsidR="002F0FB9">
        <w:t xml:space="preserve"> are </w:t>
      </w:r>
      <w:r w:rsidR="006310E3">
        <w:t>jointly</w:t>
      </w:r>
      <w:r w:rsidR="002F0FB9">
        <w:t xml:space="preserve"> observed in both datasets. The </w:t>
      </w:r>
      <w:proofErr w:type="spellStart"/>
      <w:r w:rsidR="002F0FB9">
        <w:t>Mahalanobis</w:t>
      </w:r>
      <w:proofErr w:type="spellEnd"/>
      <w:r w:rsidR="002F0FB9">
        <w:t xml:space="preserve"> distance </w:t>
      </w:r>
      <w:proofErr w:type="gramStart"/>
      <w:r w:rsidR="006310E3">
        <w:t>itself</w:t>
      </w:r>
      <w:proofErr w:type="gramEnd"/>
      <w:r w:rsidR="006310E3">
        <w:t xml:space="preserve"> </w:t>
      </w:r>
      <w:r w:rsidR="002F0FB9">
        <w:t>measures the distance of individuals from the means of the covariates.</w:t>
      </w:r>
    </w:p>
    <w:p w:rsidR="002F0FB9" w:rsidRPr="00213448" w:rsidRDefault="00EB4260" w:rsidP="002F0FB9">
      <w:pPr>
        <w:pStyle w:val="Text"/>
      </w:pPr>
      <w:r>
        <w:t>Based on the same</w:t>
      </w:r>
      <w:r w:rsidR="002F0FB9">
        <w:t xml:space="preserve"> idea</w:t>
      </w:r>
      <w:r>
        <w:t xml:space="preserve"> of statistical similarity</w:t>
      </w:r>
      <w:r w:rsidR="002F0FB9">
        <w:t xml:space="preserve">, </w:t>
      </w:r>
      <w:proofErr w:type="spellStart"/>
      <w:r w:rsidR="002F0FB9" w:rsidRPr="00213448">
        <w:t>Kum</w:t>
      </w:r>
      <w:proofErr w:type="spellEnd"/>
      <w:r w:rsidR="002F0FB9" w:rsidRPr="00213448">
        <w:t xml:space="preserve"> and Masterson</w:t>
      </w:r>
      <w:r>
        <w:t xml:space="preserve"> (2010)</w:t>
      </w:r>
      <w:r w:rsidR="002F0FB9">
        <w:t xml:space="preserve"> used propensity scores</w:t>
      </w:r>
      <w:r w:rsidR="002F0FB9" w:rsidRPr="00213448">
        <w:t xml:space="preserve"> to statistically match two datasets that contain </w:t>
      </w:r>
      <w:r w:rsidR="006310E3">
        <w:t>different individuals, a</w:t>
      </w:r>
      <w:r w:rsidR="002F0FB9" w:rsidRPr="00213448">
        <w:t xml:space="preserve"> number of </w:t>
      </w:r>
      <w:r w:rsidR="006310E3">
        <w:t>jointly observed</w:t>
      </w:r>
      <w:r w:rsidR="002E4C87">
        <w:t xml:space="preserve"> variables</w:t>
      </w:r>
      <w:r w:rsidR="002F0FB9" w:rsidRPr="00213448">
        <w:t xml:space="preserve"> and a set of variables of interest unique to each data source. </w:t>
      </w:r>
      <w:r w:rsidR="002F0FB9">
        <w:t xml:space="preserve">Their approach </w:t>
      </w:r>
      <w:r w:rsidR="002F0FB9" w:rsidRPr="00213448">
        <w:t xml:space="preserve">is </w:t>
      </w:r>
      <w:r w:rsidR="002F0FB9">
        <w:t xml:space="preserve">detailed below to illustrate how records from </w:t>
      </w:r>
      <w:r w:rsidR="002E4C87">
        <w:t xml:space="preserve">the </w:t>
      </w:r>
      <w:r w:rsidR="0004361E">
        <w:t xml:space="preserve">Longitudinal Study of Australian Children </w:t>
      </w:r>
      <w:r w:rsidR="002F0FB9">
        <w:t xml:space="preserve">(the donor file) and </w:t>
      </w:r>
      <w:r>
        <w:t xml:space="preserve">LSAY (the recipient file) could, in theory, </w:t>
      </w:r>
      <w:r w:rsidR="002F0FB9">
        <w:t>be matched</w:t>
      </w:r>
      <w:r w:rsidR="002F0FB9" w:rsidRPr="00213448">
        <w:t>.</w:t>
      </w:r>
    </w:p>
    <w:p w:rsidR="002F0FB9" w:rsidRDefault="002F0FB9" w:rsidP="002F0FB9">
      <w:pPr>
        <w:pStyle w:val="Text"/>
      </w:pPr>
      <w:proofErr w:type="spellStart"/>
      <w:r>
        <w:t>Kum</w:t>
      </w:r>
      <w:proofErr w:type="spellEnd"/>
      <w:r>
        <w:t xml:space="preserve"> and Masterson</w:t>
      </w:r>
      <w:r w:rsidR="00EB4260">
        <w:t>’s</w:t>
      </w:r>
      <w:r>
        <w:t xml:space="preserve"> (2010) approach for combining two independent surveys is known as propensity score statistical matching (PSSM). The </w:t>
      </w:r>
      <w:r w:rsidRPr="004F4ED0">
        <w:t>propensity</w:t>
      </w:r>
      <w:r w:rsidRPr="00213448">
        <w:rPr>
          <w:i/>
        </w:rPr>
        <w:t xml:space="preserve"> </w:t>
      </w:r>
      <w:r w:rsidRPr="006D09F6">
        <w:t>score</w:t>
      </w:r>
      <w:r w:rsidRPr="00213448">
        <w:t xml:space="preserve"> </w:t>
      </w:r>
      <w:r>
        <w:t xml:space="preserve">was originally developed </w:t>
      </w:r>
      <w:r w:rsidRPr="00213448">
        <w:t>as a means to remedy selection bias in medical studies using observational data</w:t>
      </w:r>
      <w:r>
        <w:t xml:space="preserve"> (Rubin 197</w:t>
      </w:r>
      <w:r w:rsidR="00B924A5">
        <w:t>7</w:t>
      </w:r>
      <w:r>
        <w:t>; Rosenbaum &amp; Rubin 1983)</w:t>
      </w:r>
      <w:r w:rsidRPr="00213448">
        <w:t xml:space="preserve">. </w:t>
      </w:r>
      <w:r>
        <w:t>It</w:t>
      </w:r>
      <w:r w:rsidRPr="00213448">
        <w:t xml:space="preserve"> </w:t>
      </w:r>
      <w:r>
        <w:t>is b</w:t>
      </w:r>
      <w:r w:rsidRPr="00213448">
        <w:t xml:space="preserve">ased on the concept of </w:t>
      </w:r>
      <w:r>
        <w:t>randomised control trials and</w:t>
      </w:r>
      <w:r w:rsidRPr="00213448">
        <w:t xml:space="preserve"> represents the conditional probability of a person being in the treatment group rather than the co</w:t>
      </w:r>
      <w:r w:rsidR="00EB4260">
        <w:t>ntrol group</w:t>
      </w:r>
      <w:r w:rsidR="00ED7019">
        <w:t>,</w:t>
      </w:r>
      <w:r w:rsidR="00EB4260">
        <w:t xml:space="preserve"> given a set of relevant</w:t>
      </w:r>
      <w:r w:rsidRPr="00916E5D">
        <w:t xml:space="preserve"> covariates</w:t>
      </w:r>
      <w:r w:rsidRPr="00213448">
        <w:t>.</w:t>
      </w:r>
    </w:p>
    <w:p w:rsidR="002F0FB9" w:rsidRPr="00213448" w:rsidRDefault="002F0FB9" w:rsidP="002F0FB9">
      <w:pPr>
        <w:pStyle w:val="Text"/>
      </w:pPr>
      <w:r w:rsidRPr="00213448">
        <w:t xml:space="preserve">Within the context of statistical matching, the approach developed by </w:t>
      </w:r>
      <w:proofErr w:type="spellStart"/>
      <w:r>
        <w:t>Kum</w:t>
      </w:r>
      <w:proofErr w:type="spellEnd"/>
      <w:r>
        <w:t xml:space="preserve"> and Masterson</w:t>
      </w:r>
      <w:r w:rsidRPr="00213448">
        <w:t xml:space="preserve"> </w:t>
      </w:r>
      <w:r w:rsidR="00EB4260">
        <w:t xml:space="preserve">(2010) </w:t>
      </w:r>
      <w:r w:rsidRPr="00213448">
        <w:t>uses the propensity score to determine the likelihood that a record from the donor file can be matched to an equivalent record in the recipient file</w:t>
      </w:r>
      <w:r w:rsidR="00ED7019">
        <w:t>,</w:t>
      </w:r>
      <w:r w:rsidRPr="00213448">
        <w:t xml:space="preserve"> based on a number of covariates that are </w:t>
      </w:r>
      <w:r w:rsidR="006310E3">
        <w:t>jointly</w:t>
      </w:r>
      <w:r w:rsidRPr="00213448">
        <w:t xml:space="preserve"> observed in both files. </w:t>
      </w:r>
      <w:r w:rsidR="006310E3">
        <w:t xml:space="preserve">In the context of the present scoping paper, </w:t>
      </w:r>
      <w:r w:rsidR="00ED7019">
        <w:t xml:space="preserve">the </w:t>
      </w:r>
      <w:r w:rsidR="0004361E">
        <w:t xml:space="preserve">Longitudinal Study of Australian Children </w:t>
      </w:r>
      <w:r w:rsidR="006310E3">
        <w:t>could be</w:t>
      </w:r>
      <w:r>
        <w:t xml:space="preserve"> </w:t>
      </w:r>
      <w:r w:rsidR="00EB4260">
        <w:t xml:space="preserve">considered </w:t>
      </w:r>
      <w:r>
        <w:t xml:space="preserve">the </w:t>
      </w:r>
      <w:r w:rsidRPr="004F4ED0">
        <w:t>donor file</w:t>
      </w:r>
      <w:r>
        <w:t xml:space="preserve"> and LSAY the </w:t>
      </w:r>
      <w:r w:rsidRPr="004F4ED0">
        <w:t>recipient file</w:t>
      </w:r>
      <w:r>
        <w:t>.</w:t>
      </w:r>
    </w:p>
    <w:p w:rsidR="002F0FB9" w:rsidRPr="00213448" w:rsidRDefault="006310E3" w:rsidP="002F0FB9">
      <w:pPr>
        <w:pStyle w:val="Text"/>
      </w:pPr>
      <w:r>
        <w:t xml:space="preserve">A number of steps are necessary to prepare the data files for conducting </w:t>
      </w:r>
      <w:r w:rsidR="00ED7019">
        <w:t>propensity</w:t>
      </w:r>
      <w:r w:rsidR="004F4ED0">
        <w:t xml:space="preserve"> score statistical matching</w:t>
      </w:r>
      <w:r>
        <w:t>. Preparation of the data files</w:t>
      </w:r>
      <w:r w:rsidR="002F0FB9" w:rsidRPr="00213448">
        <w:t xml:space="preserve"> is a labour-intensive task</w:t>
      </w:r>
      <w:r w:rsidR="004F4ED0">
        <w:t xml:space="preserve"> and</w:t>
      </w:r>
      <w:r w:rsidR="002F0FB9" w:rsidRPr="00213448">
        <w:t xml:space="preserve"> entails dealing with missing values and harmonising common variables in terms of their distributions, scales, and ranges.</w:t>
      </w:r>
    </w:p>
    <w:p w:rsidR="002F0FB9" w:rsidRPr="00213448" w:rsidRDefault="002F0FB9" w:rsidP="00ED7019">
      <w:pPr>
        <w:pStyle w:val="Heading3"/>
      </w:pPr>
      <w:r w:rsidRPr="00213448">
        <w:t>Missing data</w:t>
      </w:r>
    </w:p>
    <w:p w:rsidR="002F0FB9" w:rsidRPr="00213448" w:rsidRDefault="004F4ED0" w:rsidP="00797EE4">
      <w:pPr>
        <w:pStyle w:val="Textlessbefore"/>
      </w:pPr>
      <w:r>
        <w:t>Propensity score statistical matching</w:t>
      </w:r>
      <w:r w:rsidR="00EB4260">
        <w:t xml:space="preserve"> requires the use of a complete data matrix, and so records with partially missing values have to either be discarded or imputed in some way</w:t>
      </w:r>
      <w:r w:rsidR="002F0FB9" w:rsidRPr="00213448">
        <w:t xml:space="preserve">. </w:t>
      </w:r>
      <w:r w:rsidR="00BA67E7">
        <w:t xml:space="preserve">When the rate of missing values exceeds 5%, discarding records with missing values </w:t>
      </w:r>
      <w:r w:rsidR="00ED7019">
        <w:t xml:space="preserve">is </w:t>
      </w:r>
      <w:r w:rsidR="00BA67E7">
        <w:t xml:space="preserve">likely </w:t>
      </w:r>
      <w:r w:rsidR="00ED7019">
        <w:t>to introduce</w:t>
      </w:r>
      <w:r w:rsidR="00BA67E7">
        <w:t xml:space="preserve"> undue bias into statistical procedures (Schafer 1997). In this case, multiple </w:t>
      </w:r>
      <w:proofErr w:type="gramStart"/>
      <w:r w:rsidR="00BA67E7">
        <w:t>imputation</w:t>
      </w:r>
      <w:proofErr w:type="gramEnd"/>
      <w:r w:rsidR="00BA67E7">
        <w:t xml:space="preserve"> is generally the best alternative to remedy partially incomplete data. </w:t>
      </w:r>
      <w:r w:rsidR="002F0FB9" w:rsidRPr="00213448">
        <w:t>For a detailed treatise o</w:t>
      </w:r>
      <w:r w:rsidR="006D09F6">
        <w:t>n</w:t>
      </w:r>
      <w:r w:rsidR="002F0FB9" w:rsidRPr="00213448">
        <w:t xml:space="preserve"> handling missing values </w:t>
      </w:r>
      <w:r w:rsidR="00BA67E7">
        <w:t xml:space="preserve">via multiple </w:t>
      </w:r>
      <w:r w:rsidR="00F66CFF">
        <w:t>imputations</w:t>
      </w:r>
      <w:r w:rsidR="00BA67E7">
        <w:t xml:space="preserve"> </w:t>
      </w:r>
      <w:r w:rsidR="002F0FB9" w:rsidRPr="00213448">
        <w:t>in large-scale datasets</w:t>
      </w:r>
      <w:r>
        <w:t>,</w:t>
      </w:r>
      <w:r w:rsidR="002F0FB9" w:rsidRPr="00213448">
        <w:t xml:space="preserve"> readers are ref</w:t>
      </w:r>
      <w:r w:rsidR="00CA49E3">
        <w:t>erred to Gemici, Bednarz and Lim</w:t>
      </w:r>
      <w:r w:rsidR="002F0FB9" w:rsidRPr="00213448">
        <w:t xml:space="preserve"> </w:t>
      </w:r>
      <w:r w:rsidR="00BA67E7">
        <w:t>(</w:t>
      </w:r>
      <w:r w:rsidR="002F0FB9" w:rsidRPr="00213448">
        <w:t>20</w:t>
      </w:r>
      <w:r w:rsidR="00BA67E7">
        <w:t>11).</w:t>
      </w:r>
    </w:p>
    <w:p w:rsidR="00BA67E7" w:rsidRDefault="00BA67E7">
      <w:pPr>
        <w:spacing w:before="0" w:line="240" w:lineRule="auto"/>
        <w:rPr>
          <w:rFonts w:ascii="Tahoma" w:hAnsi="Tahoma"/>
          <w:i/>
          <w:sz w:val="24"/>
        </w:rPr>
      </w:pPr>
      <w:r>
        <w:br w:type="page"/>
      </w:r>
    </w:p>
    <w:p w:rsidR="002F0FB9" w:rsidRPr="00213448" w:rsidRDefault="002F0FB9" w:rsidP="00CA49E3">
      <w:pPr>
        <w:pStyle w:val="Heading3"/>
      </w:pPr>
      <w:r w:rsidRPr="00213448">
        <w:lastRenderedPageBreak/>
        <w:t>Harmonising common variables</w:t>
      </w:r>
    </w:p>
    <w:p w:rsidR="002F0FB9" w:rsidRDefault="002F0FB9" w:rsidP="00797EE4">
      <w:pPr>
        <w:pStyle w:val="Textlessbefore"/>
      </w:pPr>
      <w:r w:rsidRPr="00213448">
        <w:t xml:space="preserve">As mentioned above, propensity scores for matching donor file records to those in the recipient file are calculated using a set of </w:t>
      </w:r>
      <w:r w:rsidR="00BA67E7">
        <w:t xml:space="preserve">jointly observed </w:t>
      </w:r>
      <w:r w:rsidRPr="00213448">
        <w:t>variables. This requires that each pair of common variables is on the same measurement scale. For instance, if one variable was measured as a continuous variable in the donor file and as an ordered categorical variable in the recipient file, then the continuous variable would have to be converted to a comparable ordered categorical variable. This process is commonly referred to as variable harmonisation (</w:t>
      </w:r>
      <w:hyperlink r:id="rId18" w:history="1">
        <w:r w:rsidR="00BA67E7">
          <w:rPr>
            <w:rStyle w:val="Hyperlink"/>
          </w:rPr>
          <w:t>Bosch-</w:t>
        </w:r>
        <w:proofErr w:type="spellStart"/>
        <w:r w:rsidR="00BA67E7">
          <w:rPr>
            <w:rStyle w:val="Hyperlink"/>
          </w:rPr>
          <w:t>Capblanch</w:t>
        </w:r>
        <w:proofErr w:type="spellEnd"/>
        <w:r w:rsidR="00BA67E7">
          <w:rPr>
            <w:rStyle w:val="Hyperlink"/>
          </w:rPr>
          <w:t xml:space="preserve"> </w:t>
        </w:r>
      </w:hyperlink>
      <w:r w:rsidR="00BA67E7">
        <w:t xml:space="preserve">2011). </w:t>
      </w:r>
      <w:r w:rsidRPr="00213448">
        <w:t xml:space="preserve">To illustrate, </w:t>
      </w:r>
      <w:r w:rsidR="00C52BB1">
        <w:t xml:space="preserve">family </w:t>
      </w:r>
      <w:r w:rsidRPr="00213448">
        <w:t xml:space="preserve">socioeconomic status is measured </w:t>
      </w:r>
      <w:r w:rsidR="00C52BB1">
        <w:t xml:space="preserve">using </w:t>
      </w:r>
      <w:r w:rsidR="00CA49E3">
        <w:t>socio</w:t>
      </w:r>
      <w:r w:rsidR="00C52BB1" w:rsidRPr="00C52BB1">
        <w:t xml:space="preserve">economic position </w:t>
      </w:r>
      <w:r w:rsidR="00C52BB1">
        <w:t xml:space="preserve">scores derived from </w:t>
      </w:r>
      <w:r w:rsidR="00C52BB1" w:rsidRPr="00C52BB1">
        <w:t>parents’ educational attainments, their income and their occupational prestige</w:t>
      </w:r>
      <w:r w:rsidR="00CA49E3">
        <w:t xml:space="preserve"> (Blakemore, </w:t>
      </w:r>
      <w:proofErr w:type="spellStart"/>
      <w:r w:rsidR="00CA49E3">
        <w:t>Strazdins</w:t>
      </w:r>
      <w:proofErr w:type="spellEnd"/>
      <w:r w:rsidR="00CA49E3">
        <w:t xml:space="preserve"> &amp; </w:t>
      </w:r>
      <w:proofErr w:type="spellStart"/>
      <w:r w:rsidR="00CA49E3">
        <w:t>Gibbings</w:t>
      </w:r>
      <w:proofErr w:type="spellEnd"/>
      <w:r w:rsidR="00B1086D">
        <w:t xml:space="preserve"> 2009</w:t>
      </w:r>
      <w:r w:rsidR="00C52BB1">
        <w:t>)</w:t>
      </w:r>
      <w:r w:rsidR="00C52BB1" w:rsidRPr="00C52BB1">
        <w:t>.</w:t>
      </w:r>
      <w:r w:rsidR="00C52BB1">
        <w:t xml:space="preserve"> I</w:t>
      </w:r>
      <w:r w:rsidR="0076293F">
        <w:t>n LSAY</w:t>
      </w:r>
      <w:r w:rsidR="00C52BB1">
        <w:t>,</w:t>
      </w:r>
      <w:r w:rsidR="0076293F">
        <w:t xml:space="preserve"> </w:t>
      </w:r>
      <w:r w:rsidR="00CA49E3">
        <w:t>socioeconomic status</w:t>
      </w:r>
      <w:r w:rsidRPr="00213448">
        <w:t xml:space="preserve"> is measured using weighted li</w:t>
      </w:r>
      <w:r w:rsidR="0076293F">
        <w:t>kelihood estimate scores derived from factor analysis</w:t>
      </w:r>
      <w:r w:rsidR="00C52BB1">
        <w:t xml:space="preserve"> on </w:t>
      </w:r>
      <w:r w:rsidR="00DE636B">
        <w:t xml:space="preserve">parents’ </w:t>
      </w:r>
      <w:r w:rsidR="00DE636B" w:rsidRPr="00DE636B">
        <w:t xml:space="preserve">highest </w:t>
      </w:r>
      <w:r w:rsidR="00DE636B">
        <w:t>educational attainment and occupational status,</w:t>
      </w:r>
      <w:r w:rsidR="00DE636B" w:rsidRPr="00DE636B">
        <w:t xml:space="preserve"> family wealth, cultural possessions and home educational resources</w:t>
      </w:r>
      <w:r w:rsidR="00DE636B">
        <w:t xml:space="preserve">. Statistical matching requires placing both measures of </w:t>
      </w:r>
      <w:r w:rsidR="00CA49E3">
        <w:t>socioeconomic status</w:t>
      </w:r>
      <w:r w:rsidR="00DE636B">
        <w:t xml:space="preserve"> on an equal footing by standardising both measures. </w:t>
      </w:r>
      <w:r w:rsidRPr="00213448">
        <w:t xml:space="preserve">Likewise, </w:t>
      </w:r>
      <w:r w:rsidR="00DE636B">
        <w:t xml:space="preserve">harmonising </w:t>
      </w:r>
      <w:r w:rsidRPr="00213448">
        <w:t>the range of common variabl</w:t>
      </w:r>
      <w:r w:rsidR="00DE636B">
        <w:t>es</w:t>
      </w:r>
      <w:r w:rsidRPr="00213448">
        <w:t xml:space="preserve"> in both data file</w:t>
      </w:r>
      <w:r w:rsidR="00DE636B">
        <w:t>s allows</w:t>
      </w:r>
      <w:r w:rsidRPr="00213448">
        <w:t xml:space="preserve"> for records to be matched at the margins of the distribution.</w:t>
      </w:r>
    </w:p>
    <w:p w:rsidR="00DE636B" w:rsidRDefault="00DE636B" w:rsidP="00CA49E3">
      <w:pPr>
        <w:pStyle w:val="Heading3"/>
      </w:pPr>
      <w:r>
        <w:t>Using ‘slicing variables’</w:t>
      </w:r>
    </w:p>
    <w:p w:rsidR="00DE636B" w:rsidRDefault="009540D7" w:rsidP="00797EE4">
      <w:pPr>
        <w:pStyle w:val="Textlessbefore"/>
      </w:pPr>
      <w:r>
        <w:t xml:space="preserve">Slicing variables are used to stratify the datasets </w:t>
      </w:r>
      <w:r w:rsidR="006D09F6">
        <w:t>to</w:t>
      </w:r>
      <w:r>
        <w:t xml:space="preserve"> ensure that two matched individuals have sensible characteristics. For instance, gender is a common slicing variable to ensure that records from males in dataset </w:t>
      </w:r>
      <w:proofErr w:type="gramStart"/>
      <w:r w:rsidRPr="00F66CFF">
        <w:t>A</w:t>
      </w:r>
      <w:proofErr w:type="gramEnd"/>
      <w:r>
        <w:t xml:space="preserve"> are matched to records from males in dataset </w:t>
      </w:r>
      <w:r w:rsidRPr="00F66CFF">
        <w:t>B</w:t>
      </w:r>
      <w:r>
        <w:t xml:space="preserve">. </w:t>
      </w:r>
    </w:p>
    <w:p w:rsidR="002F0FB9" w:rsidRPr="00213448" w:rsidRDefault="002F0FB9" w:rsidP="00CA49E3">
      <w:pPr>
        <w:pStyle w:val="Heading2"/>
      </w:pPr>
      <w:bookmarkStart w:id="74" w:name="_Toc358811278"/>
      <w:r w:rsidRPr="00213448">
        <w:t>Calculating propensity scores</w:t>
      </w:r>
      <w:bookmarkEnd w:id="74"/>
    </w:p>
    <w:p w:rsidR="002F0FB9" w:rsidRPr="00213448" w:rsidRDefault="002F0FB9" w:rsidP="00797EE4">
      <w:pPr>
        <w:pStyle w:val="Text"/>
      </w:pPr>
      <w:r w:rsidRPr="00213448">
        <w:t xml:space="preserve">Propensity scores are calculated </w:t>
      </w:r>
      <w:r w:rsidR="00CA49E3">
        <w:t xml:space="preserve">using </w:t>
      </w:r>
      <w:r w:rsidRPr="00213448">
        <w:t>the set of common variables observed in both the donor and the recipient file</w:t>
      </w:r>
      <w:r w:rsidR="00CA49E3">
        <w:t>s</w:t>
      </w:r>
      <w:r w:rsidRPr="00213448">
        <w:t xml:space="preserve">. The propensity score basically collapses the </w:t>
      </w:r>
      <w:r w:rsidRPr="00797EE4">
        <w:t>common</w:t>
      </w:r>
      <w:r w:rsidRPr="00213448">
        <w:t xml:space="preserve"> set of covariates into a single summary score ranging from </w:t>
      </w:r>
      <w:r w:rsidRPr="00213448">
        <w:rPr>
          <w:i/>
        </w:rPr>
        <w:t>0</w:t>
      </w:r>
      <w:r w:rsidRPr="00213448">
        <w:t xml:space="preserve"> to </w:t>
      </w:r>
      <w:r w:rsidRPr="00213448">
        <w:rPr>
          <w:i/>
        </w:rPr>
        <w:t>1</w:t>
      </w:r>
      <w:r w:rsidRPr="00213448">
        <w:rPr>
          <w:rStyle w:val="FootnoteReference"/>
          <w:i/>
        </w:rPr>
        <w:footnoteReference w:id="14"/>
      </w:r>
      <w:r w:rsidRPr="00213448">
        <w:t>. Formally, the propensity score is expressed as</w:t>
      </w:r>
    </w:p>
    <w:p w:rsidR="002F0FB9" w:rsidRPr="00213448" w:rsidRDefault="002F0FB9" w:rsidP="002F0FB9">
      <w:pPr>
        <w:pStyle w:val="Text"/>
        <w:jc w:val="center"/>
      </w:pPr>
      <w:proofErr w:type="gramStart"/>
      <w:r w:rsidRPr="00213448">
        <w:t>e(</w:t>
      </w:r>
      <w:proofErr w:type="gramEnd"/>
      <w:r w:rsidRPr="00213448">
        <w:rPr>
          <w:i/>
        </w:rPr>
        <w:t>x</w:t>
      </w:r>
      <w:r w:rsidRPr="00213448">
        <w:t>) = pr(</w:t>
      </w:r>
      <w:r w:rsidRPr="00213448">
        <w:rPr>
          <w:i/>
        </w:rPr>
        <w:t>z</w:t>
      </w:r>
      <w:r w:rsidRPr="00213448">
        <w:t xml:space="preserve"> = 1</w:t>
      </w:r>
      <w:r w:rsidRPr="00213448">
        <w:rPr>
          <w:rFonts w:ascii="Arial" w:hAnsi="Arial" w:cs="Arial"/>
        </w:rPr>
        <w:t>│</w:t>
      </w:r>
      <w:r w:rsidRPr="00213448">
        <w:rPr>
          <w:i/>
        </w:rPr>
        <w:t>x</w:t>
      </w:r>
      <w:r w:rsidRPr="00213448">
        <w:t>)</w:t>
      </w:r>
    </w:p>
    <w:p w:rsidR="002F0FB9" w:rsidRPr="00213448" w:rsidRDefault="002F0FB9" w:rsidP="00797EE4">
      <w:pPr>
        <w:pStyle w:val="Text"/>
      </w:pPr>
      <w:proofErr w:type="gramStart"/>
      <w:r w:rsidRPr="00213448">
        <w:t>where</w:t>
      </w:r>
      <w:proofErr w:type="gramEnd"/>
      <w:r w:rsidRPr="00213448">
        <w:t xml:space="preserve"> </w:t>
      </w:r>
      <w:r w:rsidRPr="00213448">
        <w:rPr>
          <w:i/>
        </w:rPr>
        <w:t>x</w:t>
      </w:r>
      <w:r w:rsidRPr="00213448">
        <w:t xml:space="preserve"> denotes the covariates used in the propensity score model, and the binary variable </w:t>
      </w:r>
      <w:r w:rsidRPr="00213448">
        <w:rPr>
          <w:i/>
        </w:rPr>
        <w:t>z</w:t>
      </w:r>
      <w:r w:rsidRPr="00213448">
        <w:t xml:space="preserve"> indicates exposure </w:t>
      </w:r>
      <w:r w:rsidR="0031095E">
        <w:t>to treatment (Rosenbaum &amp; Rubin</w:t>
      </w:r>
      <w:r w:rsidRPr="00213448">
        <w:t xml:space="preserve"> 1985). The propensity e(</w:t>
      </w:r>
      <w:r w:rsidRPr="00213448">
        <w:rPr>
          <w:i/>
        </w:rPr>
        <w:t>x</w:t>
      </w:r>
      <w:r w:rsidRPr="00213448">
        <w:t xml:space="preserve">) for </w:t>
      </w:r>
      <w:r w:rsidRPr="00797EE4">
        <w:t>each</w:t>
      </w:r>
      <w:r w:rsidRPr="00213448">
        <w:t xml:space="preserve"> individual is estimated through logistic regression of </w:t>
      </w:r>
      <w:r w:rsidRPr="00213448">
        <w:rPr>
          <w:i/>
        </w:rPr>
        <w:t>z</w:t>
      </w:r>
      <w:r w:rsidRPr="00213448">
        <w:t xml:space="preserve"> on </w:t>
      </w:r>
      <w:r w:rsidRPr="00213448">
        <w:rPr>
          <w:i/>
        </w:rPr>
        <w:t>x</w:t>
      </w:r>
      <w:r w:rsidRPr="00213448">
        <w:t xml:space="preserve">, where z equals </w:t>
      </w:r>
      <w:r w:rsidRPr="00213448">
        <w:rPr>
          <w:i/>
        </w:rPr>
        <w:t>1</w:t>
      </w:r>
      <w:r w:rsidRPr="00213448">
        <w:t xml:space="preserve"> for treatment group participants and </w:t>
      </w:r>
      <w:r w:rsidRPr="00213448">
        <w:rPr>
          <w:i/>
        </w:rPr>
        <w:t>0</w:t>
      </w:r>
      <w:r w:rsidRPr="00213448">
        <w:t xml:space="preserve"> for contro</w:t>
      </w:r>
      <w:r w:rsidR="0031095E">
        <w:t>l group participants (Rosenbaum</w:t>
      </w:r>
      <w:r w:rsidRPr="00213448">
        <w:t xml:space="preserve"> 1998). In the context of statistical matching, the propensity scores represent the predicted probability that a donor record will be matched to the recipient file.</w:t>
      </w:r>
    </w:p>
    <w:p w:rsidR="002F0FB9" w:rsidRPr="00213448" w:rsidRDefault="002F0FB9" w:rsidP="002F0FB9">
      <w:pPr>
        <w:pStyle w:val="Heading3"/>
      </w:pPr>
      <w:r w:rsidRPr="00213448">
        <w:t>Stratification of the data files</w:t>
      </w:r>
    </w:p>
    <w:p w:rsidR="002F0FB9" w:rsidRPr="00213448" w:rsidRDefault="002F0FB9" w:rsidP="00797EE4">
      <w:pPr>
        <w:pStyle w:val="Textlessbefore"/>
      </w:pPr>
      <w:r w:rsidRPr="00213448">
        <w:t xml:space="preserve">Before conducting the match, </w:t>
      </w:r>
      <w:proofErr w:type="spellStart"/>
      <w:r w:rsidRPr="00213448">
        <w:t>Kum</w:t>
      </w:r>
      <w:proofErr w:type="spellEnd"/>
      <w:r w:rsidRPr="00213448">
        <w:t xml:space="preserve"> and Masterson (2010) point out that it is advisable to divide the donor and recipient files into pre-specified strata. The purpose of stratifying the datasets is to </w:t>
      </w:r>
      <w:r w:rsidRPr="00213448">
        <w:lastRenderedPageBreak/>
        <w:t xml:space="preserve">ensures that specific records are either definitely matched or that matches between specific records are definitely avoided. In the case of matching </w:t>
      </w:r>
      <w:r w:rsidR="0004361E">
        <w:t>the Longitudinal Study of Australian Children</w:t>
      </w:r>
      <w:r w:rsidRPr="00213448">
        <w:t xml:space="preserve"> to LSAY the nature of sub-segments would depend on the research question of intere</w:t>
      </w:r>
      <w:r w:rsidR="003C7793">
        <w:t>st. For instance, if the analyse</w:t>
      </w:r>
      <w:r w:rsidRPr="00213448">
        <w:t>s of the matched synthetic dataset were to focus on low-</w:t>
      </w:r>
      <w:r w:rsidR="003C7793">
        <w:t>socioeconomic status</w:t>
      </w:r>
      <w:r w:rsidRPr="00213448">
        <w:t xml:space="preserve"> individuals</w:t>
      </w:r>
      <w:r w:rsidR="003C7793">
        <w:t>,</w:t>
      </w:r>
      <w:r w:rsidRPr="00213448">
        <w:t xml:space="preserve"> it would make sense to create a stratum of the lower </w:t>
      </w:r>
      <w:r w:rsidR="003C7793">
        <w:t>socioeconomic status</w:t>
      </w:r>
      <w:r w:rsidRPr="00213448">
        <w:t xml:space="preserve"> quartile in both files and match within this pre-specified stratum of interest.</w:t>
      </w:r>
    </w:p>
    <w:p w:rsidR="002F0FB9" w:rsidRPr="00213448" w:rsidRDefault="002F0FB9" w:rsidP="00F66CFF">
      <w:pPr>
        <w:pStyle w:val="Heading2"/>
      </w:pPr>
      <w:bookmarkStart w:id="75" w:name="_Toc358811279"/>
      <w:r w:rsidRPr="00213448">
        <w:t>Conducting the statistical match</w:t>
      </w:r>
      <w:bookmarkEnd w:id="75"/>
    </w:p>
    <w:p w:rsidR="002F0FB9" w:rsidRPr="00797EE4" w:rsidRDefault="002F0FB9" w:rsidP="00797EE4">
      <w:pPr>
        <w:pStyle w:val="Text"/>
      </w:pPr>
      <w:r w:rsidRPr="00213448">
        <w:t>The actual process of creating the synthetic dataset is carried out using an algorithm that matches records from the donor file to the recipient file. Basically, the purpose of a matching algorithm is to find the closest match between two records from two different data files in terms of the propensity score distance. With small samples, the choice of one particular algorithm over another can lead to different m</w:t>
      </w:r>
      <w:r w:rsidR="003C7793">
        <w:t xml:space="preserve">atching results (Heckman, </w:t>
      </w:r>
      <w:proofErr w:type="spellStart"/>
      <w:r w:rsidR="003C7793">
        <w:t>Ichimura</w:t>
      </w:r>
      <w:proofErr w:type="spellEnd"/>
      <w:r w:rsidRPr="00213448">
        <w:t xml:space="preserve"> </w:t>
      </w:r>
      <w:r w:rsidR="003C7793">
        <w:t xml:space="preserve">&amp; Todd </w:t>
      </w:r>
      <w:r w:rsidRPr="00213448">
        <w:t>1997). With large sample sizes, however, all algorithms per</w:t>
      </w:r>
      <w:r w:rsidR="0031095E">
        <w:t>form consistently (Smith &amp; Todd</w:t>
      </w:r>
      <w:r w:rsidRPr="00213448">
        <w:t xml:space="preserve"> 2005). Given that </w:t>
      </w:r>
      <w:r w:rsidR="003C7793">
        <w:t xml:space="preserve">the </w:t>
      </w:r>
      <w:r w:rsidR="0004361E">
        <w:t xml:space="preserve">Longitudinal Study of Australian Children </w:t>
      </w:r>
      <w:r w:rsidRPr="00213448">
        <w:t>and LSAY are large-</w:t>
      </w:r>
      <w:r w:rsidRPr="00797EE4">
        <w:t>sample surveys, the choice of matching algorithm should thus be inconsequential, unless segmentation leads to small sub-samples.</w:t>
      </w:r>
    </w:p>
    <w:p w:rsidR="002F0FB9" w:rsidRPr="00797EE4" w:rsidRDefault="002F0FB9" w:rsidP="00797EE4">
      <w:pPr>
        <w:pStyle w:val="Text"/>
      </w:pPr>
      <w:r w:rsidRPr="00797EE4">
        <w:t>The concept of matching algorithms is illustrated here using the nearest-neighbour approach, which is a frequently used method in matching studies. The nearest-neighbour algorithm matches a record from the donor file to the most suitable record from the recipient file</w:t>
      </w:r>
      <w:r w:rsidR="003C7793" w:rsidRPr="00797EE4">
        <w:t>,</w:t>
      </w:r>
      <w:r w:rsidRPr="00797EE4">
        <w:t xml:space="preserve"> based on the proximity of the two records’ respective propensity scores. Since it is very rare to find two records from different files with exactly the same propensity score, the nearest-neighbour algorithm seeks to match records whose propensity scores are sufficiently close. Nearest-neighbour matching can be implemented with or without replacement. When matching with replacement, the same record from the donor file can be matched several times to different records from the recipient file. Matching without replacement implies that any treatment group member can be matched with only one member from the control group. </w:t>
      </w:r>
      <w:proofErr w:type="spellStart"/>
      <w:r w:rsidRPr="00797EE4">
        <w:t>Kum</w:t>
      </w:r>
      <w:proofErr w:type="spellEnd"/>
      <w:r w:rsidRPr="00797EE4">
        <w:t xml:space="preserve"> and Masterson (2010) strongly recommend matching records without replacement to avoid distorting variable distributions in the matched synthetic file.</w:t>
      </w:r>
    </w:p>
    <w:p w:rsidR="002F0FB9" w:rsidRPr="00213448" w:rsidRDefault="002F0FB9" w:rsidP="00797EE4">
      <w:pPr>
        <w:pStyle w:val="Text"/>
      </w:pPr>
      <w:r w:rsidRPr="00797EE4">
        <w:t>One disadvantage of match</w:t>
      </w:r>
      <w:r w:rsidRPr="00213448">
        <w:t>ing without replacement is the possibility of low-quality matches. This can occur, for instance, when for many records with high propensity scores from the donor file there are only few records with high propensity scores in the recipient file. Under this scenario the propensity score distances between two matched records may become unduly large, leading to bad matches. As discussed above, data harmonisation can improve matching quality because it helps to make the join</w:t>
      </w:r>
      <w:r w:rsidR="003C7793">
        <w:t xml:space="preserve">t distributions of the commonly </w:t>
      </w:r>
      <w:r w:rsidRPr="00213448">
        <w:t>observed variables more similar.</w:t>
      </w:r>
      <w:r w:rsidR="007C264E">
        <w:t xml:space="preserve"> </w:t>
      </w:r>
      <w:r w:rsidRPr="00213448">
        <w:t xml:space="preserve">Another approach is the use of </w:t>
      </w:r>
      <w:proofErr w:type="spellStart"/>
      <w:r w:rsidRPr="00F66CFF">
        <w:t>calipers</w:t>
      </w:r>
      <w:proofErr w:type="spellEnd"/>
      <w:r w:rsidRPr="00213448">
        <w:t xml:space="preserve">. </w:t>
      </w:r>
      <w:proofErr w:type="spellStart"/>
      <w:r w:rsidRPr="00213448">
        <w:t>Calipers</w:t>
      </w:r>
      <w:proofErr w:type="spellEnd"/>
      <w:r w:rsidRPr="00213448">
        <w:t xml:space="preserve"> delimit a maximum acceptable propensity score distance so that records from the donor file are matched to those from the recipient file only if their respective propensity scores fall within the specified </w:t>
      </w:r>
      <w:proofErr w:type="spellStart"/>
      <w:r w:rsidRPr="00213448">
        <w:t>caliper</w:t>
      </w:r>
      <w:proofErr w:type="spellEnd"/>
      <w:r w:rsidRPr="00213448">
        <w:t xml:space="preserve"> bounds. While the use of </w:t>
      </w:r>
      <w:proofErr w:type="spellStart"/>
      <w:r w:rsidRPr="00213448">
        <w:t>calipers</w:t>
      </w:r>
      <w:proofErr w:type="spellEnd"/>
      <w:r w:rsidRPr="00213448">
        <w:t xml:space="preserve"> reduces the number of possible matches, matching quality can be greatly improved by avoiding matching records with very dissimilar propensity scores.</w:t>
      </w:r>
    </w:p>
    <w:p w:rsidR="002F0FB9" w:rsidRPr="00213448" w:rsidRDefault="002F0FB9" w:rsidP="00F66CFF">
      <w:pPr>
        <w:pStyle w:val="Heading2"/>
      </w:pPr>
      <w:bookmarkStart w:id="76" w:name="_Toc358811280"/>
      <w:r w:rsidRPr="00213448">
        <w:t>Assessing the quality of the matched dataset</w:t>
      </w:r>
      <w:bookmarkEnd w:id="76"/>
    </w:p>
    <w:p w:rsidR="002F0FB9" w:rsidRPr="00797EE4" w:rsidRDefault="00683CBC" w:rsidP="00797EE4">
      <w:pPr>
        <w:pStyle w:val="Text"/>
      </w:pPr>
      <w:r>
        <w:t>The fundamental question that determines the v</w:t>
      </w:r>
      <w:r w:rsidR="002B48C6">
        <w:t>alue of a statistically matched</w:t>
      </w:r>
      <w:r>
        <w:t xml:space="preserve"> synthetic dataset is whether </w:t>
      </w:r>
      <w:r w:rsidR="002B48C6">
        <w:t>results from statistical analyse</w:t>
      </w:r>
      <w:r>
        <w:t xml:space="preserve">s </w:t>
      </w:r>
      <w:r w:rsidR="002B48C6">
        <w:t>closely approach</w:t>
      </w:r>
      <w:r w:rsidR="00ED56F1">
        <w:t xml:space="preserve"> the ‘true’ results</w:t>
      </w:r>
      <w:r w:rsidR="00F66CFF">
        <w:t xml:space="preserve"> —</w:t>
      </w:r>
      <w:r w:rsidR="002B48C6">
        <w:t xml:space="preserve"> those</w:t>
      </w:r>
      <w:r w:rsidR="00ED56F1">
        <w:t xml:space="preserve"> that would have been obtained </w:t>
      </w:r>
      <w:r w:rsidR="002B48C6">
        <w:t>had</w:t>
      </w:r>
      <w:r w:rsidR="00ED56F1">
        <w:t xml:space="preserve"> all variables of interest had been jointly observed. The problem is that</w:t>
      </w:r>
      <w:r w:rsidR="006D09F6">
        <w:t>,</w:t>
      </w:r>
      <w:r w:rsidR="00ED56F1">
        <w:t xml:space="preserve"> in most practical applications of statistical matching</w:t>
      </w:r>
      <w:r w:rsidR="006D09F6">
        <w:t>,</w:t>
      </w:r>
      <w:r w:rsidR="00ED56F1">
        <w:t xml:space="preserve"> t</w:t>
      </w:r>
      <w:r w:rsidR="00F472D1">
        <w:t>he ‘truth’ is unknown. T</w:t>
      </w:r>
      <w:r w:rsidR="00ED56F1">
        <w:t>o check the validi</w:t>
      </w:r>
      <w:r w:rsidR="00F472D1">
        <w:t xml:space="preserve">ty of </w:t>
      </w:r>
      <w:r w:rsidR="00F472D1">
        <w:lastRenderedPageBreak/>
        <w:t>statistical matching would require verifying</w:t>
      </w:r>
      <w:r w:rsidR="00ED56F1">
        <w:t xml:space="preserve"> </w:t>
      </w:r>
      <w:r w:rsidR="00F472D1">
        <w:t>that the marginal and joint empirical distributions observed in the matched file appro</w:t>
      </w:r>
      <w:r w:rsidR="00943884">
        <w:t xml:space="preserve">ximate those of the donor file. </w:t>
      </w:r>
      <w:r w:rsidR="005B4083">
        <w:t>Another source of uncertainty is the significant variation in matching results</w:t>
      </w:r>
      <w:r w:rsidR="00C850E0">
        <w:t xml:space="preserve"> as</w:t>
      </w:r>
      <w:r w:rsidR="00A92828">
        <w:t xml:space="preserve"> a consequence of</w:t>
      </w:r>
      <w:r w:rsidR="005B4083">
        <w:t xml:space="preserve"> how exactly the propensity score matching is conducted</w:t>
      </w:r>
      <w:r w:rsidR="00A92828">
        <w:t xml:space="preserve"> </w:t>
      </w:r>
      <w:r w:rsidR="005B4083">
        <w:t xml:space="preserve">(Baser 2006). An additional problem </w:t>
      </w:r>
      <w:r w:rsidR="00943884">
        <w:t>specific to matching surveys is that of calculati</w:t>
      </w:r>
      <w:r w:rsidR="00F66CFF">
        <w:t>ng correct sampling weights;</w:t>
      </w:r>
      <w:r w:rsidR="00943884">
        <w:t xml:space="preserve"> it is currently </w:t>
      </w:r>
      <w:r w:rsidR="00943884" w:rsidRPr="00797EE4">
        <w:t>unclear how to adjust weights correctly in a matched synthetic dataset.</w:t>
      </w:r>
    </w:p>
    <w:p w:rsidR="00943884" w:rsidRPr="00213448" w:rsidRDefault="00943884" w:rsidP="00797EE4">
      <w:pPr>
        <w:pStyle w:val="Text"/>
        <w:ind w:right="-143"/>
      </w:pPr>
      <w:r w:rsidRPr="00797EE4">
        <w:t xml:space="preserve">In the end, the difficulties in assessing the quality of a </w:t>
      </w:r>
      <w:r>
        <w:t xml:space="preserve">synthetic dataset based on </w:t>
      </w:r>
      <w:r w:rsidR="00A92828">
        <w:t xml:space="preserve">propensity score statistical matching </w:t>
      </w:r>
      <w:r w:rsidR="00F66CFF">
        <w:t>mean that</w:t>
      </w:r>
      <w:r>
        <w:t xml:space="preserve"> the method </w:t>
      </w:r>
      <w:r w:rsidR="00F66CFF">
        <w:t>is</w:t>
      </w:r>
      <w:r>
        <w:t xml:space="preserve"> an empirical exercise rather than a viable method for applied research. </w:t>
      </w:r>
      <w:proofErr w:type="spellStart"/>
      <w:r>
        <w:t>Kum</w:t>
      </w:r>
      <w:proofErr w:type="spellEnd"/>
      <w:r>
        <w:t xml:space="preserve"> and Masterson (2010) summarise the </w:t>
      </w:r>
      <w:r w:rsidR="00087D9D">
        <w:t>l</w:t>
      </w:r>
      <w:r>
        <w:t xml:space="preserve">imitations inherent in </w:t>
      </w:r>
      <w:r w:rsidR="00A92828">
        <w:t>propensity score statistical matching by pointing out that ‘</w:t>
      </w:r>
      <w:r>
        <w:t xml:space="preserve">if there exists no third source of data against which to check the validity of the synthetic dataset, </w:t>
      </w:r>
      <w:r w:rsidR="00846E6D">
        <w:t>all that is available in terms of quality control is comparison of the conditional distributions of the donated variables in the d</w:t>
      </w:r>
      <w:r w:rsidR="00F66CFF">
        <w:t xml:space="preserve">onor and synthetic datasets. </w:t>
      </w:r>
      <w:proofErr w:type="gramStart"/>
      <w:r w:rsidR="00F66CFF">
        <w:t xml:space="preserve">We </w:t>
      </w:r>
      <w:r w:rsidR="00846E6D">
        <w:t>acknowledge, of course, that this is a necessary but insufficient indica</w:t>
      </w:r>
      <w:r w:rsidR="00A92828">
        <w:t>tor of the quality of the match’ (p.</w:t>
      </w:r>
      <w:r w:rsidR="00846E6D">
        <w:t>194).</w:t>
      </w:r>
      <w:proofErr w:type="gramEnd"/>
    </w:p>
    <w:p w:rsidR="002F0FB9" w:rsidRPr="002F0FB9" w:rsidRDefault="002F0FB9" w:rsidP="002F0FB9">
      <w:pPr>
        <w:pStyle w:val="Text"/>
      </w:pPr>
    </w:p>
    <w:sectPr w:rsidR="002F0FB9" w:rsidRPr="002F0FB9" w:rsidSect="00F60BA5">
      <w:footerReference w:type="even" r:id="rId19"/>
      <w:footerReference w:type="default" r:id="rId20"/>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B92" w:rsidRDefault="00020B92">
      <w:r>
        <w:separator/>
      </w:r>
    </w:p>
  </w:endnote>
  <w:endnote w:type="continuationSeparator" w:id="0">
    <w:p w:rsidR="00020B92" w:rsidRDefault="00020B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92" w:rsidRPr="008C0A74" w:rsidRDefault="007F6524" w:rsidP="00FF5931">
    <w:pPr>
      <w:pStyle w:val="Footer"/>
      <w:tabs>
        <w:tab w:val="clear" w:pos="8505"/>
        <w:tab w:val="right" w:pos="8789"/>
      </w:tabs>
      <w:rPr>
        <w:b/>
      </w:rPr>
    </w:pPr>
    <w:r w:rsidRPr="007F6524">
      <w:rPr>
        <w:b/>
        <w:noProof/>
        <w:color w:val="FFFFFF" w:themeColor="background1"/>
        <w:lang w:eastAsia="en-AU"/>
      </w:rPr>
      <w:pict>
        <v:rect id="Rectangle 3" o:spid="_x0000_s10242" style="position:absolute;margin-left:-85.05pt;margin-top:-2.45pt;width:99pt;height:18.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0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R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X/qH9JgCAABoBQAADgAAAAAAAAAAAAAAAAAuAgAAZHJzL2Uy&#10;b0RvYy54bWxQSwECLQAUAAYACAAAACEA/ZB0tuEAAAAJAQAADwAAAAAAAAAAAAAAAADyBAAAZHJz&#10;L2Rvd25yZXYueG1sUEsFBgAAAAAEAAQA8wAAAAAGAAAAAA==&#10;" fillcolor="black [3213]" stroked="f" strokecolor="#bfbfbf [2412]"/>
      </w:pict>
    </w:r>
    <w:r w:rsidRPr="008C0A74">
      <w:rPr>
        <w:b/>
        <w:color w:val="FFFFFF" w:themeColor="background1"/>
      </w:rPr>
      <w:fldChar w:fldCharType="begin"/>
    </w:r>
    <w:r w:rsidR="00020B92" w:rsidRPr="008C0A74">
      <w:rPr>
        <w:b/>
        <w:color w:val="FFFFFF" w:themeColor="background1"/>
      </w:rPr>
      <w:instrText xml:space="preserve"> PAGE </w:instrText>
    </w:r>
    <w:r w:rsidRPr="008C0A74">
      <w:rPr>
        <w:b/>
        <w:color w:val="FFFFFF" w:themeColor="background1"/>
      </w:rPr>
      <w:fldChar w:fldCharType="separate"/>
    </w:r>
    <w:r w:rsidR="00A95F8D">
      <w:rPr>
        <w:b/>
        <w:noProof/>
        <w:color w:val="FFFFFF" w:themeColor="background1"/>
      </w:rPr>
      <w:t>32</w:t>
    </w:r>
    <w:r w:rsidRPr="008C0A74">
      <w:rPr>
        <w:b/>
        <w:color w:val="FFFFFF" w:themeColor="background1"/>
      </w:rPr>
      <w:fldChar w:fldCharType="end"/>
    </w:r>
    <w:r w:rsidR="00020B92" w:rsidRPr="008C0A74">
      <w:rPr>
        <w:b/>
        <w:color w:val="FFFFFF" w:themeColor="background1"/>
      </w:rPr>
      <w:tab/>
    </w:r>
    <w:r w:rsidR="00020B92">
      <w:rPr>
        <w:b/>
      </w:rPr>
      <w:t>Data linkage and statistical matching: options for LSAY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92" w:rsidRPr="009775C7" w:rsidRDefault="007F6524" w:rsidP="008C0A74">
    <w:pPr>
      <w:pStyle w:val="Footer"/>
      <w:tabs>
        <w:tab w:val="clear" w:pos="8505"/>
        <w:tab w:val="right" w:pos="8789"/>
      </w:tabs>
      <w:rPr>
        <w:color w:val="FFFFFF" w:themeColor="background1"/>
      </w:rPr>
    </w:pPr>
    <w:r w:rsidRPr="007F6524">
      <w:rPr>
        <w:b/>
        <w:noProof/>
        <w:lang w:eastAsia="en-AU"/>
      </w:rPr>
      <w:pict>
        <v:rect id="Rectangle 4" o:spid="_x0000_s10241" style="position:absolute;margin-left:425.6pt;margin-top:-2.45pt;width:99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O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acY&#10;KTLAEX0B0YhaS46q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" fillcolor="black [3213]" stroked="f" strokecolor="#bfbfbf [2412]"/>
      </w:pict>
    </w:r>
    <w:r w:rsidR="00020B92" w:rsidRPr="009775C7">
      <w:rPr>
        <w:b/>
      </w:rPr>
      <w:t>NCVER</w:t>
    </w:r>
    <w:r w:rsidR="00020B92" w:rsidRPr="009775C7">
      <w:tab/>
    </w:r>
    <w:r w:rsidRPr="009775C7">
      <w:rPr>
        <w:rStyle w:val="PageNumber"/>
        <w:rFonts w:cs="Tahoma"/>
        <w:b/>
        <w:color w:val="FFFFFF" w:themeColor="background1"/>
        <w:sz w:val="17"/>
      </w:rPr>
      <w:fldChar w:fldCharType="begin"/>
    </w:r>
    <w:r w:rsidR="00020B92"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A95F8D">
      <w:rPr>
        <w:rStyle w:val="PageNumber"/>
        <w:rFonts w:cs="Tahoma"/>
        <w:b/>
        <w:noProof/>
        <w:color w:val="FFFFFF" w:themeColor="background1"/>
        <w:sz w:val="17"/>
      </w:rPr>
      <w:t>33</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B92" w:rsidRDefault="00020B92">
      <w:r>
        <w:separator/>
      </w:r>
    </w:p>
  </w:footnote>
  <w:footnote w:type="continuationSeparator" w:id="0">
    <w:p w:rsidR="00020B92" w:rsidRDefault="00020B92">
      <w:r>
        <w:continuationSeparator/>
      </w:r>
    </w:p>
  </w:footnote>
  <w:footnote w:id="1">
    <w:p w:rsidR="00020B92" w:rsidRDefault="00020B92" w:rsidP="00B42D47">
      <w:pPr>
        <w:pStyle w:val="FootnoteText"/>
      </w:pPr>
      <w:r>
        <w:rPr>
          <w:rStyle w:val="FootnoteReference"/>
        </w:rPr>
        <w:footnoteRef/>
      </w:r>
      <w:r>
        <w:t xml:space="preserve"> </w:t>
      </w:r>
      <w:r>
        <w:tab/>
      </w:r>
      <w:proofErr w:type="spellStart"/>
      <w:r>
        <w:t>Centrelink</w:t>
      </w:r>
      <w:proofErr w:type="spellEnd"/>
      <w:r>
        <w:t xml:space="preserve"> </w:t>
      </w:r>
      <w:r w:rsidRPr="00B66B2B">
        <w:t>has been incorporated into the Department of Human Services</w:t>
      </w:r>
      <w:r>
        <w:t>. For simplicity, the term ‘</w:t>
      </w:r>
      <w:proofErr w:type="spellStart"/>
      <w:r>
        <w:t>Centrelink</w:t>
      </w:r>
      <w:proofErr w:type="spellEnd"/>
      <w:r>
        <w:t>’ will be used throughout this report.</w:t>
      </w:r>
    </w:p>
  </w:footnote>
  <w:footnote w:id="2">
    <w:p w:rsidR="00020B92" w:rsidRDefault="00020B92" w:rsidP="00396987">
      <w:pPr>
        <w:pStyle w:val="FootnoteText"/>
      </w:pPr>
      <w:r>
        <w:rPr>
          <w:rStyle w:val="FootnoteReference"/>
        </w:rPr>
        <w:footnoteRef/>
      </w:r>
      <w:r>
        <w:t xml:space="preserve"> </w:t>
      </w:r>
      <w:r>
        <w:tab/>
      </w:r>
      <w:r w:rsidRPr="00405173">
        <w:t>We should acknowledge, however, that there are also sources of error or potential inaccuracy in administrative data. These include data entry errors (not always subject to the quality control found in survey data entry) and definitional issues (</w:t>
      </w:r>
      <w:r>
        <w:t>for example, definitions that do not</w:t>
      </w:r>
      <w:r w:rsidRPr="00405173">
        <w:t xml:space="preserve"> match those used in statistical collections).</w:t>
      </w:r>
    </w:p>
  </w:footnote>
  <w:footnote w:id="3">
    <w:p w:rsidR="00020B92" w:rsidRDefault="00020B92">
      <w:pPr>
        <w:pStyle w:val="FootnoteText"/>
      </w:pPr>
      <w:r>
        <w:rPr>
          <w:rStyle w:val="FootnoteReference"/>
        </w:rPr>
        <w:footnoteRef/>
      </w:r>
      <w:r>
        <w:t xml:space="preserve"> </w:t>
      </w:r>
      <w:r>
        <w:tab/>
        <w:t>‘Data linkage’ is also known as ‘record linkage’, and these terms are sometimes used interchangeably. In this report, the term ‘data linkage’ is used throughout.</w:t>
      </w:r>
    </w:p>
  </w:footnote>
  <w:footnote w:id="4">
    <w:p w:rsidR="00020B92" w:rsidRDefault="00020B92">
      <w:pPr>
        <w:pStyle w:val="FootnoteText"/>
      </w:pPr>
      <w:r>
        <w:rPr>
          <w:rStyle w:val="FootnoteReference"/>
        </w:rPr>
        <w:footnoteRef/>
      </w:r>
      <w:r>
        <w:t xml:space="preserve"> </w:t>
      </w:r>
      <w:r>
        <w:tab/>
        <w:t>LSAY participants would have Medicare records either on their own account or through their parents or legal guardians. The availability of Medicare records might be limited for recent immigrants to Australia.</w:t>
      </w:r>
    </w:p>
  </w:footnote>
  <w:footnote w:id="5">
    <w:p w:rsidR="00020B92" w:rsidRDefault="00020B92">
      <w:pPr>
        <w:pStyle w:val="FootnoteText"/>
      </w:pPr>
      <w:r>
        <w:rPr>
          <w:rStyle w:val="FootnoteReference"/>
        </w:rPr>
        <w:footnoteRef/>
      </w:r>
      <w:r>
        <w:t xml:space="preserve"> </w:t>
      </w:r>
      <w:r>
        <w:tab/>
        <w:t xml:space="preserve">Technical details on probabilistic linkage algorithms are provided in Blakely &amp; </w:t>
      </w:r>
      <w:proofErr w:type="spellStart"/>
      <w:r>
        <w:t>Salmond</w:t>
      </w:r>
      <w:proofErr w:type="spellEnd"/>
      <w:r>
        <w:t xml:space="preserve"> (2002) or Tromp et al. (2011).</w:t>
      </w:r>
    </w:p>
  </w:footnote>
  <w:footnote w:id="6">
    <w:p w:rsidR="00020B92" w:rsidRDefault="00020B92" w:rsidP="00C13155">
      <w:pPr>
        <w:pStyle w:val="FootnoteText"/>
      </w:pPr>
      <w:r>
        <w:rPr>
          <w:rStyle w:val="FootnoteReference"/>
        </w:rPr>
        <w:footnoteRef/>
      </w:r>
      <w:r>
        <w:t xml:space="preserve"> </w:t>
      </w:r>
      <w:r>
        <w:tab/>
        <w:t>T</w:t>
      </w:r>
      <w:r w:rsidRPr="009F6D53">
        <w:t>he Manitoba Population Health</w:t>
      </w:r>
      <w:r>
        <w:t xml:space="preserve"> Research Data Repository links the population registry to several</w:t>
      </w:r>
      <w:r w:rsidRPr="009F6D53">
        <w:t xml:space="preserve"> </w:t>
      </w:r>
      <w:r>
        <w:t>health, education and welfare databases. For details see University of Manitoba (2012).</w:t>
      </w:r>
    </w:p>
  </w:footnote>
  <w:footnote w:id="7">
    <w:p w:rsidR="00020B92" w:rsidRDefault="00020B92" w:rsidP="00C13155">
      <w:pPr>
        <w:pStyle w:val="FootnoteText"/>
      </w:pPr>
      <w:r>
        <w:rPr>
          <w:rStyle w:val="FootnoteReference"/>
        </w:rPr>
        <w:footnoteRef/>
      </w:r>
      <w:r>
        <w:t xml:space="preserve"> </w:t>
      </w:r>
      <w:r>
        <w:tab/>
      </w:r>
      <w:proofErr w:type="spellStart"/>
      <w:r>
        <w:t>WomMed</w:t>
      </w:r>
      <w:proofErr w:type="spellEnd"/>
      <w:r>
        <w:t xml:space="preserve"> II is a nationwide database that</w:t>
      </w:r>
      <w:r w:rsidRPr="00A02DDF">
        <w:t xml:space="preserve"> contain</w:t>
      </w:r>
      <w:r>
        <w:t>s information from the Swedish m</w:t>
      </w:r>
      <w:r w:rsidRPr="00A02DDF">
        <w:t>edical</w:t>
      </w:r>
      <w:r>
        <w:t xml:space="preserve"> b</w:t>
      </w:r>
      <w:r w:rsidRPr="00A02DDF">
        <w:t>i</w:t>
      </w:r>
      <w:r>
        <w:t>rth r</w:t>
      </w:r>
      <w:r w:rsidRPr="00A02DDF">
        <w:t>egister, which includes both birth records and prenatal care data</w:t>
      </w:r>
      <w:r>
        <w:t xml:space="preserve"> (</w:t>
      </w:r>
      <w:r w:rsidRPr="00A02DDF">
        <w:t>Swedish Centre for Epidemiol</w:t>
      </w:r>
      <w:r>
        <w:t>ogy</w:t>
      </w:r>
      <w:r w:rsidRPr="00A02DDF">
        <w:t xml:space="preserve"> 2003). The </w:t>
      </w:r>
      <w:proofErr w:type="spellStart"/>
      <w:r w:rsidRPr="00A02DDF">
        <w:t>WomMed</w:t>
      </w:r>
      <w:proofErr w:type="spellEnd"/>
      <w:r w:rsidRPr="00A02DDF">
        <w:t xml:space="preserve"> II</w:t>
      </w:r>
      <w:r>
        <w:t xml:space="preserve"> </w:t>
      </w:r>
      <w:r w:rsidRPr="00A02DDF">
        <w:t>da</w:t>
      </w:r>
      <w:r>
        <w:t>tabase also contains nationwide</w:t>
      </w:r>
      <w:r w:rsidRPr="00A02DDF">
        <w:t xml:space="preserve"> individu</w:t>
      </w:r>
      <w:r>
        <w:t xml:space="preserve">al-level hospital diagnoses and </w:t>
      </w:r>
      <w:r w:rsidRPr="00A02DDF">
        <w:t>d</w:t>
      </w:r>
      <w:r>
        <w:t>eath register data</w:t>
      </w:r>
      <w:r w:rsidRPr="00A02DDF">
        <w:t>, as</w:t>
      </w:r>
      <w:r>
        <w:t xml:space="preserve"> well as census data.</w:t>
      </w:r>
    </w:p>
  </w:footnote>
  <w:footnote w:id="8">
    <w:p w:rsidR="00020B92" w:rsidRDefault="00020B92" w:rsidP="00EE0768">
      <w:pPr>
        <w:pStyle w:val="FootnoteText"/>
      </w:pPr>
      <w:r>
        <w:rPr>
          <w:rStyle w:val="FootnoteReference"/>
        </w:rPr>
        <w:footnoteRef/>
      </w:r>
      <w:r>
        <w:t xml:space="preserve"> </w:t>
      </w:r>
      <w:r>
        <w:tab/>
        <w:t>A general principle in determining when a young person has the capacity to make a decision on his or her behalf is when they have sufficient understanding and maturity to understand what is being proposed. In some circumstances it may be appropriate for a parent or guardian to consent on behalf of a young person where the child is very young or lacks the maturity of understanding to do so themselves (Australian Law Reform Commission 2008).</w:t>
      </w:r>
    </w:p>
  </w:footnote>
  <w:footnote w:id="9">
    <w:p w:rsidR="00020B92" w:rsidRDefault="00020B92" w:rsidP="00EE0768">
      <w:pPr>
        <w:pStyle w:val="FootnoteText"/>
      </w:pPr>
      <w:r>
        <w:rPr>
          <w:rStyle w:val="FootnoteReference"/>
        </w:rPr>
        <w:footnoteRef/>
      </w:r>
      <w:r>
        <w:t xml:space="preserve"> </w:t>
      </w:r>
      <w:r>
        <w:tab/>
        <w:t xml:space="preserve">Note that other guidelines adhered to by collection agencies or contractors may set a minimum age requirement. For example, the </w:t>
      </w:r>
      <w:r w:rsidRPr="00E02F72">
        <w:t xml:space="preserve">Australian Market and Social Research Society’s (AMSRS) Code of Professional Behaviour, which is </w:t>
      </w:r>
      <w:r>
        <w:t>followed</w:t>
      </w:r>
      <w:r w:rsidRPr="00E02F72">
        <w:t xml:space="preserve"> by the current field work contractor</w:t>
      </w:r>
      <w:r>
        <w:t xml:space="preserve"> for LSAY</w:t>
      </w:r>
      <w:r w:rsidRPr="00E02F72">
        <w:t>, require</w:t>
      </w:r>
      <w:r>
        <w:t>s</w:t>
      </w:r>
      <w:r w:rsidRPr="00E02F72">
        <w:t xml:space="preserve"> researchers to obtain consent from a parent or guardian before a child of 14 years and under can be interviewed.</w:t>
      </w:r>
      <w:r>
        <w:t xml:space="preserve"> Moreover, some ethics committees may suggest that whether consent from a 15-year-old is acceptable depends on whether it can be reasonably argued that they understand fully what they are consenting to. Best practice would likely seek parental consent in addition to respondent consent until the LSAY respondent reaches the age of 18.</w:t>
      </w:r>
    </w:p>
  </w:footnote>
  <w:footnote w:id="10">
    <w:p w:rsidR="00020B92" w:rsidRDefault="00020B92">
      <w:pPr>
        <w:pStyle w:val="FootnoteText"/>
      </w:pPr>
      <w:r>
        <w:rPr>
          <w:rStyle w:val="FootnoteReference"/>
        </w:rPr>
        <w:footnoteRef/>
      </w:r>
      <w:r>
        <w:t xml:space="preserve"> </w:t>
      </w:r>
      <w:r>
        <w:tab/>
        <w:t>It is generally most appropriate to obtain written consent in addition to the verbal consent given during the telephone interview.</w:t>
      </w:r>
    </w:p>
  </w:footnote>
  <w:footnote w:id="11">
    <w:p w:rsidR="00020B92" w:rsidRPr="000A7EE4" w:rsidRDefault="00020B92" w:rsidP="006303E3">
      <w:pPr>
        <w:pStyle w:val="FootnoteText"/>
        <w:rPr>
          <w:highlight w:val="green"/>
        </w:rPr>
      </w:pPr>
      <w:r>
        <w:rPr>
          <w:rStyle w:val="FootnoteReference"/>
        </w:rPr>
        <w:footnoteRef/>
      </w:r>
      <w:r>
        <w:t xml:space="preserve"> </w:t>
      </w:r>
      <w:r>
        <w:tab/>
        <w:t xml:space="preserve">Prior to the link between LSAY and PISA from 2003 onwards, the Y95 and Y98 cohorts </w:t>
      </w:r>
      <w:r w:rsidRPr="000A7EE4">
        <w:t>featured reading and numeracy tests</w:t>
      </w:r>
      <w:r>
        <w:t xml:space="preserve"> that were administered to students in the respective base year</w:t>
      </w:r>
      <w:r w:rsidRPr="000A7EE4">
        <w:t>.</w:t>
      </w:r>
      <w:r w:rsidRPr="000A7EE4">
        <w:rPr>
          <w:rFonts w:ascii="Times New Roman" w:hAnsi="Times New Roman"/>
          <w:sz w:val="22"/>
          <w:szCs w:val="22"/>
        </w:rPr>
        <w:t xml:space="preserve"> </w:t>
      </w:r>
      <w:r w:rsidRPr="000A7EE4">
        <w:t xml:space="preserve">Test results led to the creation of three </w:t>
      </w:r>
      <w:r>
        <w:t xml:space="preserve">school achievement </w:t>
      </w:r>
      <w:r w:rsidRPr="000A7EE4">
        <w:t>measures:</w:t>
      </w:r>
      <w:r>
        <w:t xml:space="preserve"> </w:t>
      </w:r>
      <w:r w:rsidRPr="000A7EE4">
        <w:t>a</w:t>
      </w:r>
      <w:r>
        <w:t>chievement in literacy</w:t>
      </w:r>
      <w:r w:rsidRPr="000A7EE4">
        <w:t>, a</w:t>
      </w:r>
      <w:r>
        <w:t>chievement in numeracy</w:t>
      </w:r>
      <w:r w:rsidRPr="000A7EE4">
        <w:t xml:space="preserve"> and combined</w:t>
      </w:r>
      <w:r>
        <w:t xml:space="preserve"> </w:t>
      </w:r>
      <w:r w:rsidRPr="000A7EE4">
        <w:t>achievement in</w:t>
      </w:r>
      <w:r>
        <w:t xml:space="preserve"> literacy and numeracy</w:t>
      </w:r>
      <w:r w:rsidRPr="000A7EE4">
        <w:t>.</w:t>
      </w:r>
      <w:r>
        <w:t xml:space="preserve"> Further details are provided in NCVER (</w:t>
      </w:r>
      <w:r w:rsidRPr="00096F8C">
        <w:t>2011a</w:t>
      </w:r>
      <w:r>
        <w:t>).</w:t>
      </w:r>
    </w:p>
  </w:footnote>
  <w:footnote w:id="12">
    <w:p w:rsidR="00020B92" w:rsidRDefault="00020B92" w:rsidP="008540B4">
      <w:pPr>
        <w:pStyle w:val="FootnoteText"/>
      </w:pPr>
      <w:r>
        <w:rPr>
          <w:rStyle w:val="FootnoteReference"/>
        </w:rPr>
        <w:footnoteRef/>
      </w:r>
      <w:r>
        <w:t xml:space="preserve"> </w:t>
      </w:r>
      <w:r>
        <w:tab/>
        <w:t>LSAY respondents’ representative identifiers are held by the LSAY data collection contractor (currently Wallis Consulting).</w:t>
      </w:r>
    </w:p>
  </w:footnote>
  <w:footnote w:id="13">
    <w:p w:rsidR="00020B92" w:rsidRDefault="00020B92">
      <w:pPr>
        <w:pStyle w:val="FootnoteText"/>
      </w:pPr>
      <w:r>
        <w:rPr>
          <w:rStyle w:val="FootnoteReference"/>
        </w:rPr>
        <w:footnoteRef/>
      </w:r>
      <w:r>
        <w:t xml:space="preserve"> </w:t>
      </w:r>
      <w:r>
        <w:tab/>
        <w:t xml:space="preserve">For recent applications of census-derived neighbourhood measures in youth research see Jensen </w:t>
      </w:r>
      <w:r w:rsidR="006D09F6">
        <w:t>&amp;</w:t>
      </w:r>
      <w:r>
        <w:t xml:space="preserve"> Harris (2008) or Edwards </w:t>
      </w:r>
      <w:r w:rsidR="006D09F6">
        <w:t>&amp;</w:t>
      </w:r>
      <w:r>
        <w:t xml:space="preserve"> Bromfield (</w:t>
      </w:r>
      <w:r w:rsidRPr="00524408">
        <w:t>2009)</w:t>
      </w:r>
      <w:r>
        <w:t>.</w:t>
      </w:r>
    </w:p>
  </w:footnote>
  <w:footnote w:id="14">
    <w:p w:rsidR="00020B92" w:rsidRDefault="00020B92" w:rsidP="002F0FB9">
      <w:pPr>
        <w:pStyle w:val="FootnoteText"/>
      </w:pPr>
      <w:r>
        <w:rPr>
          <w:rStyle w:val="FootnoteReference"/>
        </w:rPr>
        <w:footnoteRef/>
      </w:r>
      <w:r>
        <w:t xml:space="preserve"> </w:t>
      </w:r>
      <w:r>
        <w:tab/>
      </w:r>
      <w:r w:rsidRPr="003306A0">
        <w:rPr>
          <w:lang w:val="en-US"/>
        </w:rPr>
        <w:t>The k</w:t>
      </w:r>
      <w:r>
        <w:rPr>
          <w:lang w:val="en-US"/>
        </w:rPr>
        <w:t xml:space="preserve">ey benefit of the </w:t>
      </w:r>
      <w:r w:rsidRPr="003306A0">
        <w:rPr>
          <w:lang w:val="en-US"/>
        </w:rPr>
        <w:t>propensity scor</w:t>
      </w:r>
      <w:r>
        <w:rPr>
          <w:lang w:val="en-US"/>
        </w:rPr>
        <w:t>e is</w:t>
      </w:r>
      <w:r w:rsidRPr="003306A0">
        <w:rPr>
          <w:lang w:val="en-US"/>
        </w:rPr>
        <w:t xml:space="preserve"> its ability to sidestep the challenges inherent in </w:t>
      </w:r>
      <w:r>
        <w:rPr>
          <w:lang w:val="en-US"/>
        </w:rPr>
        <w:t>other</w:t>
      </w:r>
      <w:r w:rsidRPr="003306A0">
        <w:rPr>
          <w:lang w:val="en-US"/>
        </w:rPr>
        <w:t xml:space="preserve"> matching procedures, which require exact matches on every single covariate in a model (</w:t>
      </w:r>
      <w:proofErr w:type="spellStart"/>
      <w:r>
        <w:rPr>
          <w:lang w:val="en-US"/>
        </w:rPr>
        <w:t>Leow</w:t>
      </w:r>
      <w:proofErr w:type="spellEnd"/>
      <w:r>
        <w:rPr>
          <w:lang w:val="en-US"/>
        </w:rPr>
        <w:t xml:space="preserve"> et al.</w:t>
      </w:r>
      <w:r w:rsidRPr="003306A0">
        <w:rPr>
          <w:lang w:val="en-US"/>
        </w:rPr>
        <w:t xml:space="preserve"> 2004). For instance, if a given multivariate matching model in</w:t>
      </w:r>
      <w:r>
        <w:rPr>
          <w:lang w:val="en-US"/>
        </w:rPr>
        <w:t>cludes 15 dichotomous observed</w:t>
      </w:r>
      <w:r w:rsidRPr="003306A0">
        <w:rPr>
          <w:lang w:val="en-US"/>
        </w:rPr>
        <w:t xml:space="preserve"> covariates, then 2</w:t>
      </w:r>
      <w:r w:rsidRPr="003306A0">
        <w:rPr>
          <w:vertAlign w:val="superscript"/>
          <w:lang w:val="en-US"/>
        </w:rPr>
        <w:t>15</w:t>
      </w:r>
      <w:r>
        <w:rPr>
          <w:lang w:val="en-US"/>
        </w:rPr>
        <w:t xml:space="preserve"> (or 32 </w:t>
      </w:r>
      <w:r w:rsidRPr="003306A0">
        <w:rPr>
          <w:lang w:val="en-US"/>
        </w:rPr>
        <w:t>768) different matches of covariates would be possible. Finding exact matches for treatment participants on all 2</w:t>
      </w:r>
      <w:r w:rsidRPr="003306A0">
        <w:rPr>
          <w:vertAlign w:val="superscript"/>
          <w:lang w:val="en-US"/>
        </w:rPr>
        <w:t>15</w:t>
      </w:r>
      <w:r w:rsidRPr="003306A0">
        <w:rPr>
          <w:lang w:val="en-US"/>
        </w:rPr>
        <w:t xml:space="preserve"> covariates wo</w:t>
      </w:r>
      <w:r>
        <w:rPr>
          <w:lang w:val="en-US"/>
        </w:rPr>
        <w:t>uld be an insoluble dilemma, which</w:t>
      </w:r>
      <w:r w:rsidRPr="003306A0">
        <w:rPr>
          <w:lang w:val="en-US"/>
        </w:rPr>
        <w:t xml:space="preserve"> i</w:t>
      </w:r>
      <w:r>
        <w:rPr>
          <w:lang w:val="en-US"/>
        </w:rPr>
        <w:t xml:space="preserve">s known </w:t>
      </w:r>
      <w:r w:rsidRPr="003306A0">
        <w:rPr>
          <w:lang w:val="en-US"/>
        </w:rPr>
        <w:t xml:space="preserve">as the </w:t>
      </w:r>
      <w:r>
        <w:rPr>
          <w:lang w:val="en-US"/>
        </w:rPr>
        <w:t>‘</w:t>
      </w:r>
      <w:r w:rsidRPr="004F4ED0">
        <w:rPr>
          <w:lang w:val="en-US"/>
        </w:rPr>
        <w:t>curse of dimensionality</w:t>
      </w:r>
      <w:r>
        <w:rPr>
          <w:lang w:val="en-US"/>
        </w:rPr>
        <w:t>’</w:t>
      </w:r>
      <w:r w:rsidRPr="004F4ED0">
        <w:rPr>
          <w:lang w:val="en-US"/>
        </w:rPr>
        <w:t xml:space="preserve"> </w:t>
      </w:r>
      <w:r>
        <w:rPr>
          <w:lang w:val="en-US"/>
        </w:rPr>
        <w:t>(</w:t>
      </w:r>
      <w:proofErr w:type="spellStart"/>
      <w:r>
        <w:rPr>
          <w:lang w:val="en-US"/>
        </w:rPr>
        <w:t>Augurzky</w:t>
      </w:r>
      <w:proofErr w:type="spellEnd"/>
      <w:r>
        <w:rPr>
          <w:lang w:val="en-US"/>
        </w:rPr>
        <w:t xml:space="preserve"> &amp; Schmidt</w:t>
      </w:r>
      <w:r w:rsidRPr="003306A0">
        <w:rPr>
          <w:lang w:val="en-US"/>
        </w:rPr>
        <w:t xml:space="preserve"> 2001; </w:t>
      </w:r>
      <w:proofErr w:type="spellStart"/>
      <w:r w:rsidRPr="003306A0">
        <w:rPr>
          <w:lang w:val="en-US"/>
        </w:rPr>
        <w:t>Caliendo</w:t>
      </w:r>
      <w:proofErr w:type="spellEnd"/>
      <w:r w:rsidRPr="003306A0">
        <w:rPr>
          <w:lang w:val="en-US"/>
        </w:rPr>
        <w:t xml:space="preserve"> &amp; </w:t>
      </w:r>
      <w:proofErr w:type="spellStart"/>
      <w:r w:rsidRPr="003306A0">
        <w:rPr>
          <w:lang w:val="en-US"/>
        </w:rPr>
        <w:t>Kopei</w:t>
      </w:r>
      <w:r>
        <w:rPr>
          <w:lang w:val="en-US"/>
        </w:rPr>
        <w:t>nig</w:t>
      </w:r>
      <w:proofErr w:type="spellEnd"/>
      <w:r>
        <w:rPr>
          <w:lang w:val="en-US"/>
        </w:rPr>
        <w:t xml:space="preserve"> 2005</w:t>
      </w:r>
      <w:r w:rsidRPr="003306A0">
        <w:rPr>
          <w:lang w:val="en-US"/>
        </w:rPr>
        <w:t xml:space="preserve">). The propensity score overcomes the dimensionality issue by collapsing a large number of observable covariates into a scalar variable between </w:t>
      </w:r>
      <w:r w:rsidRPr="004F4ED0">
        <w:rPr>
          <w:lang w:val="en-US"/>
        </w:rPr>
        <w:t>0</w:t>
      </w:r>
      <w:r w:rsidRPr="003306A0">
        <w:rPr>
          <w:lang w:val="en-US"/>
        </w:rPr>
        <w:t xml:space="preserve"> and </w:t>
      </w:r>
      <w:r w:rsidRPr="004F4ED0">
        <w:rPr>
          <w:lang w:val="en-US"/>
        </w:rPr>
        <w:t xml:space="preserve">1 </w:t>
      </w:r>
      <w:r>
        <w:rPr>
          <w:lang w:val="en-US"/>
        </w:rPr>
        <w:t>(</w:t>
      </w:r>
      <w:proofErr w:type="spellStart"/>
      <w:r>
        <w:rPr>
          <w:lang w:val="en-US"/>
        </w:rPr>
        <w:t>Luellen</w:t>
      </w:r>
      <w:proofErr w:type="spellEnd"/>
      <w:r>
        <w:rPr>
          <w:lang w:val="en-US"/>
        </w:rPr>
        <w:t xml:space="preserve">, </w:t>
      </w:r>
      <w:proofErr w:type="spellStart"/>
      <w:r>
        <w:rPr>
          <w:lang w:val="en-US"/>
        </w:rPr>
        <w:t>Shadish</w:t>
      </w:r>
      <w:proofErr w:type="spellEnd"/>
      <w:r>
        <w:rPr>
          <w:lang w:val="en-US"/>
        </w:rPr>
        <w:t xml:space="preserve"> &amp; Clark</w:t>
      </w:r>
      <w:r w:rsidRPr="003306A0">
        <w:rPr>
          <w:lang w:val="en-US"/>
        </w:rPr>
        <w:t xml:space="preserve"> 2005).</w:t>
      </w:r>
      <w:r>
        <w:rPr>
          <w:lang w:val="en-US"/>
        </w:rPr>
        <w:t xml:space="preserve"> However, it is important to point out that there is significant variation in matching results based on what particular propensity score matching method is used (for details on this point see Baser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06CD16"/>
    <w:lvl w:ilvl="0">
      <w:start w:val="1"/>
      <w:numFmt w:val="decimal"/>
      <w:lvlText w:val="%1."/>
      <w:lvlJc w:val="left"/>
      <w:pPr>
        <w:tabs>
          <w:tab w:val="num" w:pos="1492"/>
        </w:tabs>
        <w:ind w:left="1492" w:hanging="360"/>
      </w:pPr>
    </w:lvl>
  </w:abstractNum>
  <w:abstractNum w:abstractNumId="1">
    <w:nsid w:val="FFFFFF7D"/>
    <w:multiLevelType w:val="singleLevel"/>
    <w:tmpl w:val="44F4BDFE"/>
    <w:lvl w:ilvl="0">
      <w:start w:val="1"/>
      <w:numFmt w:val="decimal"/>
      <w:lvlText w:val="%1."/>
      <w:lvlJc w:val="left"/>
      <w:pPr>
        <w:tabs>
          <w:tab w:val="num" w:pos="1209"/>
        </w:tabs>
        <w:ind w:left="1209" w:hanging="360"/>
      </w:pPr>
    </w:lvl>
  </w:abstractNum>
  <w:abstractNum w:abstractNumId="2">
    <w:nsid w:val="FFFFFF7E"/>
    <w:multiLevelType w:val="singleLevel"/>
    <w:tmpl w:val="4494539E"/>
    <w:lvl w:ilvl="0">
      <w:start w:val="1"/>
      <w:numFmt w:val="decimal"/>
      <w:lvlText w:val="%1."/>
      <w:lvlJc w:val="left"/>
      <w:pPr>
        <w:tabs>
          <w:tab w:val="num" w:pos="926"/>
        </w:tabs>
        <w:ind w:left="926" w:hanging="360"/>
      </w:pPr>
    </w:lvl>
  </w:abstractNum>
  <w:abstractNum w:abstractNumId="3">
    <w:nsid w:val="FFFFFF7F"/>
    <w:multiLevelType w:val="singleLevel"/>
    <w:tmpl w:val="674C57CC"/>
    <w:lvl w:ilvl="0">
      <w:start w:val="1"/>
      <w:numFmt w:val="decimal"/>
      <w:lvlText w:val="%1."/>
      <w:lvlJc w:val="left"/>
      <w:pPr>
        <w:tabs>
          <w:tab w:val="num" w:pos="643"/>
        </w:tabs>
        <w:ind w:left="643" w:hanging="360"/>
      </w:pPr>
    </w:lvl>
  </w:abstractNum>
  <w:abstractNum w:abstractNumId="4">
    <w:nsid w:val="FFFFFF80"/>
    <w:multiLevelType w:val="singleLevel"/>
    <w:tmpl w:val="679661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AD9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C687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9CC7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C41A34"/>
    <w:lvl w:ilvl="0">
      <w:start w:val="1"/>
      <w:numFmt w:val="decimal"/>
      <w:lvlText w:val="%1."/>
      <w:lvlJc w:val="left"/>
      <w:pPr>
        <w:tabs>
          <w:tab w:val="num" w:pos="360"/>
        </w:tabs>
        <w:ind w:left="360" w:hanging="360"/>
      </w:pPr>
    </w:lvl>
  </w:abstractNum>
  <w:abstractNum w:abstractNumId="9">
    <w:nsid w:val="FFFFFF89"/>
    <w:multiLevelType w:val="singleLevel"/>
    <w:tmpl w:val="C6AC4E24"/>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67697091"/>
    <w:multiLevelType w:val="multilevel"/>
    <w:tmpl w:val="7412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06517CE"/>
    <w:multiLevelType w:val="hybridMultilevel"/>
    <w:tmpl w:val="91D88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rsids>
    <w:rsidRoot w:val="009C2ACB"/>
    <w:rsid w:val="0000223E"/>
    <w:rsid w:val="00002FEC"/>
    <w:rsid w:val="000042F7"/>
    <w:rsid w:val="00010708"/>
    <w:rsid w:val="000108B2"/>
    <w:rsid w:val="00011184"/>
    <w:rsid w:val="00011D1D"/>
    <w:rsid w:val="00013265"/>
    <w:rsid w:val="00013384"/>
    <w:rsid w:val="00013E7D"/>
    <w:rsid w:val="00020B65"/>
    <w:rsid w:val="00020B92"/>
    <w:rsid w:val="00022119"/>
    <w:rsid w:val="00022290"/>
    <w:rsid w:val="00022B1E"/>
    <w:rsid w:val="0002411A"/>
    <w:rsid w:val="000264E6"/>
    <w:rsid w:val="00027296"/>
    <w:rsid w:val="00027B89"/>
    <w:rsid w:val="000306A4"/>
    <w:rsid w:val="000315D7"/>
    <w:rsid w:val="00031FFD"/>
    <w:rsid w:val="0003620A"/>
    <w:rsid w:val="00037009"/>
    <w:rsid w:val="00037508"/>
    <w:rsid w:val="00041AAA"/>
    <w:rsid w:val="0004361E"/>
    <w:rsid w:val="00044C93"/>
    <w:rsid w:val="00045EC1"/>
    <w:rsid w:val="00046778"/>
    <w:rsid w:val="00047BB2"/>
    <w:rsid w:val="00047D33"/>
    <w:rsid w:val="0005111F"/>
    <w:rsid w:val="00051230"/>
    <w:rsid w:val="0005278C"/>
    <w:rsid w:val="00052B9A"/>
    <w:rsid w:val="00052C06"/>
    <w:rsid w:val="00055024"/>
    <w:rsid w:val="0005666C"/>
    <w:rsid w:val="0006125F"/>
    <w:rsid w:val="000615E1"/>
    <w:rsid w:val="000641AB"/>
    <w:rsid w:val="00065EE0"/>
    <w:rsid w:val="00066B9B"/>
    <w:rsid w:val="0006738B"/>
    <w:rsid w:val="00071878"/>
    <w:rsid w:val="0007476A"/>
    <w:rsid w:val="00074BD4"/>
    <w:rsid w:val="00075B42"/>
    <w:rsid w:val="00075CAA"/>
    <w:rsid w:val="0007612C"/>
    <w:rsid w:val="000811E6"/>
    <w:rsid w:val="0008602E"/>
    <w:rsid w:val="00086D1F"/>
    <w:rsid w:val="00087D9D"/>
    <w:rsid w:val="00092545"/>
    <w:rsid w:val="0009341D"/>
    <w:rsid w:val="0009404E"/>
    <w:rsid w:val="00094385"/>
    <w:rsid w:val="00096CAE"/>
    <w:rsid w:val="00096F8C"/>
    <w:rsid w:val="000979F1"/>
    <w:rsid w:val="000A01CB"/>
    <w:rsid w:val="000A0745"/>
    <w:rsid w:val="000A0AF4"/>
    <w:rsid w:val="000A2CAF"/>
    <w:rsid w:val="000A2FE9"/>
    <w:rsid w:val="000A337C"/>
    <w:rsid w:val="000A35F2"/>
    <w:rsid w:val="000A381C"/>
    <w:rsid w:val="000A5390"/>
    <w:rsid w:val="000A54BC"/>
    <w:rsid w:val="000A5834"/>
    <w:rsid w:val="000A7613"/>
    <w:rsid w:val="000A7EE4"/>
    <w:rsid w:val="000B0386"/>
    <w:rsid w:val="000B151C"/>
    <w:rsid w:val="000B365F"/>
    <w:rsid w:val="000B529E"/>
    <w:rsid w:val="000B59DC"/>
    <w:rsid w:val="000B75CB"/>
    <w:rsid w:val="000B783D"/>
    <w:rsid w:val="000B7DC8"/>
    <w:rsid w:val="000C0B8F"/>
    <w:rsid w:val="000C1043"/>
    <w:rsid w:val="000C3E09"/>
    <w:rsid w:val="000C50BC"/>
    <w:rsid w:val="000C5CE5"/>
    <w:rsid w:val="000C6EE5"/>
    <w:rsid w:val="000D03D1"/>
    <w:rsid w:val="000D07C3"/>
    <w:rsid w:val="000E16DD"/>
    <w:rsid w:val="000E3D53"/>
    <w:rsid w:val="000E4781"/>
    <w:rsid w:val="000E4B65"/>
    <w:rsid w:val="000E56E7"/>
    <w:rsid w:val="000E59FB"/>
    <w:rsid w:val="000E609D"/>
    <w:rsid w:val="000E6BE5"/>
    <w:rsid w:val="000E740B"/>
    <w:rsid w:val="000F137D"/>
    <w:rsid w:val="000F178C"/>
    <w:rsid w:val="000F37D5"/>
    <w:rsid w:val="000F59FD"/>
    <w:rsid w:val="000F641C"/>
    <w:rsid w:val="000F66C5"/>
    <w:rsid w:val="001004EC"/>
    <w:rsid w:val="00100723"/>
    <w:rsid w:val="00102813"/>
    <w:rsid w:val="00104928"/>
    <w:rsid w:val="00105339"/>
    <w:rsid w:val="0010761A"/>
    <w:rsid w:val="00107A89"/>
    <w:rsid w:val="001102F3"/>
    <w:rsid w:val="001103C6"/>
    <w:rsid w:val="00114B7B"/>
    <w:rsid w:val="00115492"/>
    <w:rsid w:val="001175B9"/>
    <w:rsid w:val="0012323D"/>
    <w:rsid w:val="00123B5C"/>
    <w:rsid w:val="00125106"/>
    <w:rsid w:val="00125877"/>
    <w:rsid w:val="00126745"/>
    <w:rsid w:val="0013038C"/>
    <w:rsid w:val="001316B8"/>
    <w:rsid w:val="001327DC"/>
    <w:rsid w:val="00132EAD"/>
    <w:rsid w:val="00133160"/>
    <w:rsid w:val="00133B7D"/>
    <w:rsid w:val="00134967"/>
    <w:rsid w:val="001349F6"/>
    <w:rsid w:val="00134B5F"/>
    <w:rsid w:val="00135C75"/>
    <w:rsid w:val="001406B2"/>
    <w:rsid w:val="00142A5C"/>
    <w:rsid w:val="001449A3"/>
    <w:rsid w:val="0014646A"/>
    <w:rsid w:val="001505CC"/>
    <w:rsid w:val="00150874"/>
    <w:rsid w:val="001509F3"/>
    <w:rsid w:val="00150BDD"/>
    <w:rsid w:val="00150CB6"/>
    <w:rsid w:val="00150F1A"/>
    <w:rsid w:val="001521DA"/>
    <w:rsid w:val="00153195"/>
    <w:rsid w:val="001539F2"/>
    <w:rsid w:val="00153E4E"/>
    <w:rsid w:val="00155527"/>
    <w:rsid w:val="00155839"/>
    <w:rsid w:val="00156233"/>
    <w:rsid w:val="001574A7"/>
    <w:rsid w:val="00160BBF"/>
    <w:rsid w:val="00164E6D"/>
    <w:rsid w:val="001665D6"/>
    <w:rsid w:val="00166810"/>
    <w:rsid w:val="001678F5"/>
    <w:rsid w:val="0017129B"/>
    <w:rsid w:val="00171895"/>
    <w:rsid w:val="00172FA6"/>
    <w:rsid w:val="00174E10"/>
    <w:rsid w:val="00176A0D"/>
    <w:rsid w:val="00177827"/>
    <w:rsid w:val="001778C1"/>
    <w:rsid w:val="0018089D"/>
    <w:rsid w:val="001810A2"/>
    <w:rsid w:val="00181D89"/>
    <w:rsid w:val="001830FC"/>
    <w:rsid w:val="0018344D"/>
    <w:rsid w:val="00184504"/>
    <w:rsid w:val="00186CF8"/>
    <w:rsid w:val="001876CA"/>
    <w:rsid w:val="0018787B"/>
    <w:rsid w:val="00191A46"/>
    <w:rsid w:val="001921B6"/>
    <w:rsid w:val="00196B53"/>
    <w:rsid w:val="001A00A2"/>
    <w:rsid w:val="001A2759"/>
    <w:rsid w:val="001A4199"/>
    <w:rsid w:val="001A4280"/>
    <w:rsid w:val="001A42DF"/>
    <w:rsid w:val="001A5043"/>
    <w:rsid w:val="001A605E"/>
    <w:rsid w:val="001A7338"/>
    <w:rsid w:val="001A7389"/>
    <w:rsid w:val="001B01E3"/>
    <w:rsid w:val="001B21C5"/>
    <w:rsid w:val="001B36BD"/>
    <w:rsid w:val="001B43CF"/>
    <w:rsid w:val="001B6A07"/>
    <w:rsid w:val="001C0595"/>
    <w:rsid w:val="001C150D"/>
    <w:rsid w:val="001C2C51"/>
    <w:rsid w:val="001C5F96"/>
    <w:rsid w:val="001C7621"/>
    <w:rsid w:val="001D0606"/>
    <w:rsid w:val="001D0632"/>
    <w:rsid w:val="001D0FAE"/>
    <w:rsid w:val="001D46C7"/>
    <w:rsid w:val="001D4781"/>
    <w:rsid w:val="001D4ABD"/>
    <w:rsid w:val="001D4B63"/>
    <w:rsid w:val="001D55E6"/>
    <w:rsid w:val="001D5CB6"/>
    <w:rsid w:val="001D5F10"/>
    <w:rsid w:val="001D66AC"/>
    <w:rsid w:val="001D714E"/>
    <w:rsid w:val="001E24F2"/>
    <w:rsid w:val="001E32B5"/>
    <w:rsid w:val="001F07B9"/>
    <w:rsid w:val="001F0FB7"/>
    <w:rsid w:val="001F1BF3"/>
    <w:rsid w:val="001F4A0E"/>
    <w:rsid w:val="001F4A90"/>
    <w:rsid w:val="001F5FFD"/>
    <w:rsid w:val="001F7D84"/>
    <w:rsid w:val="001F7DBE"/>
    <w:rsid w:val="002004BB"/>
    <w:rsid w:val="00200B21"/>
    <w:rsid w:val="00202424"/>
    <w:rsid w:val="002029CA"/>
    <w:rsid w:val="0020326A"/>
    <w:rsid w:val="00203854"/>
    <w:rsid w:val="00207AC8"/>
    <w:rsid w:val="002103A3"/>
    <w:rsid w:val="00213448"/>
    <w:rsid w:val="00215155"/>
    <w:rsid w:val="0021720D"/>
    <w:rsid w:val="00220323"/>
    <w:rsid w:val="0022141E"/>
    <w:rsid w:val="002224FE"/>
    <w:rsid w:val="00223622"/>
    <w:rsid w:val="002277A9"/>
    <w:rsid w:val="00227DBB"/>
    <w:rsid w:val="002301AB"/>
    <w:rsid w:val="002316D3"/>
    <w:rsid w:val="00231C52"/>
    <w:rsid w:val="00233098"/>
    <w:rsid w:val="0023312A"/>
    <w:rsid w:val="00233365"/>
    <w:rsid w:val="00233BFA"/>
    <w:rsid w:val="0023427E"/>
    <w:rsid w:val="002344BF"/>
    <w:rsid w:val="00236B0D"/>
    <w:rsid w:val="00240A1D"/>
    <w:rsid w:val="002415C2"/>
    <w:rsid w:val="00242F7A"/>
    <w:rsid w:val="00243C34"/>
    <w:rsid w:val="0024410D"/>
    <w:rsid w:val="00244F97"/>
    <w:rsid w:val="002505D5"/>
    <w:rsid w:val="00252950"/>
    <w:rsid w:val="00253D36"/>
    <w:rsid w:val="00255F6D"/>
    <w:rsid w:val="00257BF6"/>
    <w:rsid w:val="0026179F"/>
    <w:rsid w:val="002623BF"/>
    <w:rsid w:val="00263AEB"/>
    <w:rsid w:val="00264240"/>
    <w:rsid w:val="00271925"/>
    <w:rsid w:val="00272B02"/>
    <w:rsid w:val="002755C4"/>
    <w:rsid w:val="00280377"/>
    <w:rsid w:val="00281655"/>
    <w:rsid w:val="00282885"/>
    <w:rsid w:val="00282BFD"/>
    <w:rsid w:val="00282D19"/>
    <w:rsid w:val="002846B5"/>
    <w:rsid w:val="00284FCB"/>
    <w:rsid w:val="00285188"/>
    <w:rsid w:val="0028545B"/>
    <w:rsid w:val="002869AA"/>
    <w:rsid w:val="002919AD"/>
    <w:rsid w:val="00292160"/>
    <w:rsid w:val="00292B7E"/>
    <w:rsid w:val="0029435C"/>
    <w:rsid w:val="002956F8"/>
    <w:rsid w:val="002965B0"/>
    <w:rsid w:val="00296CB0"/>
    <w:rsid w:val="002A028F"/>
    <w:rsid w:val="002A0A65"/>
    <w:rsid w:val="002A3439"/>
    <w:rsid w:val="002A5502"/>
    <w:rsid w:val="002A5557"/>
    <w:rsid w:val="002A5897"/>
    <w:rsid w:val="002A5F2F"/>
    <w:rsid w:val="002A79F8"/>
    <w:rsid w:val="002B0E89"/>
    <w:rsid w:val="002B2170"/>
    <w:rsid w:val="002B3FD9"/>
    <w:rsid w:val="002B48C6"/>
    <w:rsid w:val="002B652C"/>
    <w:rsid w:val="002B7721"/>
    <w:rsid w:val="002C1E23"/>
    <w:rsid w:val="002C203D"/>
    <w:rsid w:val="002C44AF"/>
    <w:rsid w:val="002C4F4E"/>
    <w:rsid w:val="002C5A6A"/>
    <w:rsid w:val="002C5CE2"/>
    <w:rsid w:val="002D022B"/>
    <w:rsid w:val="002D4BE0"/>
    <w:rsid w:val="002D5D46"/>
    <w:rsid w:val="002E0611"/>
    <w:rsid w:val="002E0EE0"/>
    <w:rsid w:val="002E196B"/>
    <w:rsid w:val="002E3B2A"/>
    <w:rsid w:val="002E3D00"/>
    <w:rsid w:val="002E49E5"/>
    <w:rsid w:val="002E4C87"/>
    <w:rsid w:val="002E5623"/>
    <w:rsid w:val="002E75DB"/>
    <w:rsid w:val="002F006E"/>
    <w:rsid w:val="002F0FB9"/>
    <w:rsid w:val="002F1F93"/>
    <w:rsid w:val="002F324E"/>
    <w:rsid w:val="002F3284"/>
    <w:rsid w:val="002F3566"/>
    <w:rsid w:val="00300026"/>
    <w:rsid w:val="00300F7A"/>
    <w:rsid w:val="00303E98"/>
    <w:rsid w:val="00304B29"/>
    <w:rsid w:val="003061AB"/>
    <w:rsid w:val="00307983"/>
    <w:rsid w:val="0031095E"/>
    <w:rsid w:val="00311EF1"/>
    <w:rsid w:val="003123AB"/>
    <w:rsid w:val="00312A63"/>
    <w:rsid w:val="00312F41"/>
    <w:rsid w:val="003148DD"/>
    <w:rsid w:val="0031503A"/>
    <w:rsid w:val="00316235"/>
    <w:rsid w:val="003167DF"/>
    <w:rsid w:val="00316F3B"/>
    <w:rsid w:val="003176F6"/>
    <w:rsid w:val="003177D4"/>
    <w:rsid w:val="00317A25"/>
    <w:rsid w:val="00320661"/>
    <w:rsid w:val="00323388"/>
    <w:rsid w:val="00323A05"/>
    <w:rsid w:val="00323B4C"/>
    <w:rsid w:val="00324B8A"/>
    <w:rsid w:val="00326D3D"/>
    <w:rsid w:val="00327EF5"/>
    <w:rsid w:val="003301D7"/>
    <w:rsid w:val="003306A0"/>
    <w:rsid w:val="00332110"/>
    <w:rsid w:val="00333FEC"/>
    <w:rsid w:val="00334B5F"/>
    <w:rsid w:val="00334CE3"/>
    <w:rsid w:val="003377DC"/>
    <w:rsid w:val="00340B4D"/>
    <w:rsid w:val="00341461"/>
    <w:rsid w:val="003417E6"/>
    <w:rsid w:val="00342316"/>
    <w:rsid w:val="00342A9F"/>
    <w:rsid w:val="00344246"/>
    <w:rsid w:val="0034457F"/>
    <w:rsid w:val="00345037"/>
    <w:rsid w:val="00345AE9"/>
    <w:rsid w:val="00351AA5"/>
    <w:rsid w:val="00356378"/>
    <w:rsid w:val="00356A56"/>
    <w:rsid w:val="00356D33"/>
    <w:rsid w:val="00357DDE"/>
    <w:rsid w:val="00360698"/>
    <w:rsid w:val="00361C7C"/>
    <w:rsid w:val="003626E8"/>
    <w:rsid w:val="0036290A"/>
    <w:rsid w:val="00362C96"/>
    <w:rsid w:val="00363ACE"/>
    <w:rsid w:val="00365164"/>
    <w:rsid w:val="003706DE"/>
    <w:rsid w:val="00373B80"/>
    <w:rsid w:val="003748B3"/>
    <w:rsid w:val="0037587E"/>
    <w:rsid w:val="0037672D"/>
    <w:rsid w:val="00380F6D"/>
    <w:rsid w:val="003815F2"/>
    <w:rsid w:val="0038341A"/>
    <w:rsid w:val="00383C40"/>
    <w:rsid w:val="00384309"/>
    <w:rsid w:val="0038457F"/>
    <w:rsid w:val="00392178"/>
    <w:rsid w:val="003933A0"/>
    <w:rsid w:val="00393E48"/>
    <w:rsid w:val="0039526E"/>
    <w:rsid w:val="00396987"/>
    <w:rsid w:val="0039709B"/>
    <w:rsid w:val="00397C94"/>
    <w:rsid w:val="003A0FA4"/>
    <w:rsid w:val="003A2246"/>
    <w:rsid w:val="003A5E0E"/>
    <w:rsid w:val="003A6C5C"/>
    <w:rsid w:val="003A6DA0"/>
    <w:rsid w:val="003B1538"/>
    <w:rsid w:val="003B16DA"/>
    <w:rsid w:val="003B35DF"/>
    <w:rsid w:val="003B3708"/>
    <w:rsid w:val="003B3F27"/>
    <w:rsid w:val="003B483E"/>
    <w:rsid w:val="003B58E6"/>
    <w:rsid w:val="003B6253"/>
    <w:rsid w:val="003B7BA4"/>
    <w:rsid w:val="003B7E5C"/>
    <w:rsid w:val="003C1084"/>
    <w:rsid w:val="003C42D4"/>
    <w:rsid w:val="003C7793"/>
    <w:rsid w:val="003C77AE"/>
    <w:rsid w:val="003D0CCB"/>
    <w:rsid w:val="003D0D0A"/>
    <w:rsid w:val="003D3E1C"/>
    <w:rsid w:val="003D52A2"/>
    <w:rsid w:val="003D5EB6"/>
    <w:rsid w:val="003D5FF1"/>
    <w:rsid w:val="003D7C86"/>
    <w:rsid w:val="003E0196"/>
    <w:rsid w:val="003E0642"/>
    <w:rsid w:val="003E3656"/>
    <w:rsid w:val="003E67CB"/>
    <w:rsid w:val="003E6A85"/>
    <w:rsid w:val="003E710C"/>
    <w:rsid w:val="003F12F6"/>
    <w:rsid w:val="003F1CE7"/>
    <w:rsid w:val="003F2DB5"/>
    <w:rsid w:val="003F3ECD"/>
    <w:rsid w:val="003F71A1"/>
    <w:rsid w:val="003F748E"/>
    <w:rsid w:val="003F7C91"/>
    <w:rsid w:val="00401328"/>
    <w:rsid w:val="00405173"/>
    <w:rsid w:val="0040606F"/>
    <w:rsid w:val="004064C5"/>
    <w:rsid w:val="00407203"/>
    <w:rsid w:val="00410942"/>
    <w:rsid w:val="00412781"/>
    <w:rsid w:val="004131A1"/>
    <w:rsid w:val="004147CE"/>
    <w:rsid w:val="00414A42"/>
    <w:rsid w:val="0042107C"/>
    <w:rsid w:val="004210A5"/>
    <w:rsid w:val="0042387E"/>
    <w:rsid w:val="004248B0"/>
    <w:rsid w:val="00427F48"/>
    <w:rsid w:val="00430668"/>
    <w:rsid w:val="00430FD7"/>
    <w:rsid w:val="00435A79"/>
    <w:rsid w:val="00440ADD"/>
    <w:rsid w:val="004422D2"/>
    <w:rsid w:val="004432E6"/>
    <w:rsid w:val="00443F45"/>
    <w:rsid w:val="00443FC1"/>
    <w:rsid w:val="00445252"/>
    <w:rsid w:val="00445D09"/>
    <w:rsid w:val="0044627E"/>
    <w:rsid w:val="004502A3"/>
    <w:rsid w:val="004558EA"/>
    <w:rsid w:val="0045645E"/>
    <w:rsid w:val="00457774"/>
    <w:rsid w:val="00460FA7"/>
    <w:rsid w:val="00461654"/>
    <w:rsid w:val="004626D3"/>
    <w:rsid w:val="00463DED"/>
    <w:rsid w:val="00464B79"/>
    <w:rsid w:val="00465578"/>
    <w:rsid w:val="00465F34"/>
    <w:rsid w:val="00466DA5"/>
    <w:rsid w:val="00470312"/>
    <w:rsid w:val="00470D72"/>
    <w:rsid w:val="00473209"/>
    <w:rsid w:val="00475BDF"/>
    <w:rsid w:val="0047607E"/>
    <w:rsid w:val="00476179"/>
    <w:rsid w:val="00477AF7"/>
    <w:rsid w:val="004803E5"/>
    <w:rsid w:val="00480D0B"/>
    <w:rsid w:val="00481204"/>
    <w:rsid w:val="00482DB3"/>
    <w:rsid w:val="00482DCE"/>
    <w:rsid w:val="0048319D"/>
    <w:rsid w:val="0048643A"/>
    <w:rsid w:val="0048646D"/>
    <w:rsid w:val="00486A1D"/>
    <w:rsid w:val="00487480"/>
    <w:rsid w:val="00491171"/>
    <w:rsid w:val="00492025"/>
    <w:rsid w:val="00492604"/>
    <w:rsid w:val="0049341E"/>
    <w:rsid w:val="0049453B"/>
    <w:rsid w:val="00494E7C"/>
    <w:rsid w:val="00496F93"/>
    <w:rsid w:val="0049701C"/>
    <w:rsid w:val="004A0452"/>
    <w:rsid w:val="004A317E"/>
    <w:rsid w:val="004A6086"/>
    <w:rsid w:val="004B08FD"/>
    <w:rsid w:val="004B1759"/>
    <w:rsid w:val="004B1A2A"/>
    <w:rsid w:val="004B1B3D"/>
    <w:rsid w:val="004B2686"/>
    <w:rsid w:val="004B31AE"/>
    <w:rsid w:val="004B4645"/>
    <w:rsid w:val="004B465A"/>
    <w:rsid w:val="004B4B21"/>
    <w:rsid w:val="004B5E46"/>
    <w:rsid w:val="004B60F8"/>
    <w:rsid w:val="004B7D62"/>
    <w:rsid w:val="004C0B90"/>
    <w:rsid w:val="004C0C9E"/>
    <w:rsid w:val="004C13A8"/>
    <w:rsid w:val="004C1CAB"/>
    <w:rsid w:val="004C1D7C"/>
    <w:rsid w:val="004C2F25"/>
    <w:rsid w:val="004C4063"/>
    <w:rsid w:val="004C634D"/>
    <w:rsid w:val="004C7039"/>
    <w:rsid w:val="004C7660"/>
    <w:rsid w:val="004C7BA0"/>
    <w:rsid w:val="004D08BC"/>
    <w:rsid w:val="004D4802"/>
    <w:rsid w:val="004D5106"/>
    <w:rsid w:val="004D7079"/>
    <w:rsid w:val="004D7EB8"/>
    <w:rsid w:val="004E065A"/>
    <w:rsid w:val="004E10FD"/>
    <w:rsid w:val="004E2858"/>
    <w:rsid w:val="004E3497"/>
    <w:rsid w:val="004E49E8"/>
    <w:rsid w:val="004E62FB"/>
    <w:rsid w:val="004E7227"/>
    <w:rsid w:val="004E73E6"/>
    <w:rsid w:val="004F02CC"/>
    <w:rsid w:val="004F1254"/>
    <w:rsid w:val="004F2770"/>
    <w:rsid w:val="004F362B"/>
    <w:rsid w:val="004F3926"/>
    <w:rsid w:val="004F3E5D"/>
    <w:rsid w:val="004F4D74"/>
    <w:rsid w:val="004F4ED0"/>
    <w:rsid w:val="004F55A1"/>
    <w:rsid w:val="004F60AB"/>
    <w:rsid w:val="004F6A1E"/>
    <w:rsid w:val="0050051F"/>
    <w:rsid w:val="005042C7"/>
    <w:rsid w:val="0050540E"/>
    <w:rsid w:val="00511F0E"/>
    <w:rsid w:val="00513688"/>
    <w:rsid w:val="00516702"/>
    <w:rsid w:val="0051689A"/>
    <w:rsid w:val="00520315"/>
    <w:rsid w:val="0052276C"/>
    <w:rsid w:val="0052349E"/>
    <w:rsid w:val="00524408"/>
    <w:rsid w:val="00527267"/>
    <w:rsid w:val="00531714"/>
    <w:rsid w:val="00531D7E"/>
    <w:rsid w:val="00533023"/>
    <w:rsid w:val="00533602"/>
    <w:rsid w:val="00534810"/>
    <w:rsid w:val="0053591E"/>
    <w:rsid w:val="005372C1"/>
    <w:rsid w:val="00537FC3"/>
    <w:rsid w:val="00540024"/>
    <w:rsid w:val="00540811"/>
    <w:rsid w:val="00544B32"/>
    <w:rsid w:val="0054590E"/>
    <w:rsid w:val="00545E91"/>
    <w:rsid w:val="005460D8"/>
    <w:rsid w:val="0055366F"/>
    <w:rsid w:val="00555FBC"/>
    <w:rsid w:val="00560F4D"/>
    <w:rsid w:val="0056162E"/>
    <w:rsid w:val="00562556"/>
    <w:rsid w:val="00562ACF"/>
    <w:rsid w:val="005639E1"/>
    <w:rsid w:val="00564998"/>
    <w:rsid w:val="00570758"/>
    <w:rsid w:val="0057188C"/>
    <w:rsid w:val="00571C45"/>
    <w:rsid w:val="00572EB8"/>
    <w:rsid w:val="0057376B"/>
    <w:rsid w:val="00573B7B"/>
    <w:rsid w:val="00573D8D"/>
    <w:rsid w:val="005747F9"/>
    <w:rsid w:val="00574A55"/>
    <w:rsid w:val="00576E4F"/>
    <w:rsid w:val="005771F6"/>
    <w:rsid w:val="0057799D"/>
    <w:rsid w:val="0058091F"/>
    <w:rsid w:val="00580E4C"/>
    <w:rsid w:val="00583020"/>
    <w:rsid w:val="005848AD"/>
    <w:rsid w:val="005866A1"/>
    <w:rsid w:val="0059041A"/>
    <w:rsid w:val="00591BC9"/>
    <w:rsid w:val="0059633B"/>
    <w:rsid w:val="005974E8"/>
    <w:rsid w:val="005A0296"/>
    <w:rsid w:val="005A2080"/>
    <w:rsid w:val="005A27F9"/>
    <w:rsid w:val="005A376A"/>
    <w:rsid w:val="005A5637"/>
    <w:rsid w:val="005A6CAD"/>
    <w:rsid w:val="005B07FF"/>
    <w:rsid w:val="005B085F"/>
    <w:rsid w:val="005B1940"/>
    <w:rsid w:val="005B3455"/>
    <w:rsid w:val="005B4074"/>
    <w:rsid w:val="005B4083"/>
    <w:rsid w:val="005B4232"/>
    <w:rsid w:val="005B4B49"/>
    <w:rsid w:val="005B5EC2"/>
    <w:rsid w:val="005B74D1"/>
    <w:rsid w:val="005C0129"/>
    <w:rsid w:val="005C12DB"/>
    <w:rsid w:val="005C2624"/>
    <w:rsid w:val="005C277E"/>
    <w:rsid w:val="005C2CCB"/>
    <w:rsid w:val="005C324B"/>
    <w:rsid w:val="005C3842"/>
    <w:rsid w:val="005C5650"/>
    <w:rsid w:val="005C61F8"/>
    <w:rsid w:val="005C6A14"/>
    <w:rsid w:val="005C7418"/>
    <w:rsid w:val="005C7B2B"/>
    <w:rsid w:val="005D297C"/>
    <w:rsid w:val="005D2A7F"/>
    <w:rsid w:val="005D3A9E"/>
    <w:rsid w:val="005D4E5D"/>
    <w:rsid w:val="005D5658"/>
    <w:rsid w:val="005D78F3"/>
    <w:rsid w:val="005E1B3C"/>
    <w:rsid w:val="005E4764"/>
    <w:rsid w:val="005E7878"/>
    <w:rsid w:val="005E7D2E"/>
    <w:rsid w:val="005F0FCB"/>
    <w:rsid w:val="005F251C"/>
    <w:rsid w:val="005F3DAC"/>
    <w:rsid w:val="005F529F"/>
    <w:rsid w:val="005F77AF"/>
    <w:rsid w:val="00600B90"/>
    <w:rsid w:val="00600D78"/>
    <w:rsid w:val="00602440"/>
    <w:rsid w:val="00602716"/>
    <w:rsid w:val="00603214"/>
    <w:rsid w:val="00604A2B"/>
    <w:rsid w:val="00604E7D"/>
    <w:rsid w:val="006050CD"/>
    <w:rsid w:val="00605F09"/>
    <w:rsid w:val="006065A1"/>
    <w:rsid w:val="006065E1"/>
    <w:rsid w:val="00606BCD"/>
    <w:rsid w:val="00606DAD"/>
    <w:rsid w:val="00610A4A"/>
    <w:rsid w:val="00611156"/>
    <w:rsid w:val="00613CC4"/>
    <w:rsid w:val="0061515E"/>
    <w:rsid w:val="00615C87"/>
    <w:rsid w:val="00616071"/>
    <w:rsid w:val="00616507"/>
    <w:rsid w:val="00623713"/>
    <w:rsid w:val="006243C0"/>
    <w:rsid w:val="00624440"/>
    <w:rsid w:val="00624BCE"/>
    <w:rsid w:val="00624CAF"/>
    <w:rsid w:val="006303E3"/>
    <w:rsid w:val="006310E3"/>
    <w:rsid w:val="006312BF"/>
    <w:rsid w:val="0063192E"/>
    <w:rsid w:val="0063207B"/>
    <w:rsid w:val="00632FCE"/>
    <w:rsid w:val="0063386D"/>
    <w:rsid w:val="006348FB"/>
    <w:rsid w:val="006354B1"/>
    <w:rsid w:val="006376B9"/>
    <w:rsid w:val="00637EB8"/>
    <w:rsid w:val="0064171E"/>
    <w:rsid w:val="00641838"/>
    <w:rsid w:val="006422AD"/>
    <w:rsid w:val="006433A7"/>
    <w:rsid w:val="00646C9D"/>
    <w:rsid w:val="006526D7"/>
    <w:rsid w:val="00652973"/>
    <w:rsid w:val="00654751"/>
    <w:rsid w:val="00655480"/>
    <w:rsid w:val="00655E6A"/>
    <w:rsid w:val="00656679"/>
    <w:rsid w:val="00656EB2"/>
    <w:rsid w:val="00661561"/>
    <w:rsid w:val="00661994"/>
    <w:rsid w:val="00662100"/>
    <w:rsid w:val="00662285"/>
    <w:rsid w:val="006633CD"/>
    <w:rsid w:val="006642DB"/>
    <w:rsid w:val="0066551A"/>
    <w:rsid w:val="006700A3"/>
    <w:rsid w:val="0067090A"/>
    <w:rsid w:val="006711B0"/>
    <w:rsid w:val="0067134F"/>
    <w:rsid w:val="0067712D"/>
    <w:rsid w:val="00681F3E"/>
    <w:rsid w:val="00682A97"/>
    <w:rsid w:val="00683CBC"/>
    <w:rsid w:val="0068497F"/>
    <w:rsid w:val="006861FD"/>
    <w:rsid w:val="006870C6"/>
    <w:rsid w:val="00687F85"/>
    <w:rsid w:val="00696A48"/>
    <w:rsid w:val="00696A67"/>
    <w:rsid w:val="00697E80"/>
    <w:rsid w:val="00697FE7"/>
    <w:rsid w:val="006A0554"/>
    <w:rsid w:val="006A0E46"/>
    <w:rsid w:val="006A0FFC"/>
    <w:rsid w:val="006A2392"/>
    <w:rsid w:val="006A3CA2"/>
    <w:rsid w:val="006A458A"/>
    <w:rsid w:val="006A4BD3"/>
    <w:rsid w:val="006A5A84"/>
    <w:rsid w:val="006A6EAF"/>
    <w:rsid w:val="006A75A5"/>
    <w:rsid w:val="006A7619"/>
    <w:rsid w:val="006B031B"/>
    <w:rsid w:val="006B0A66"/>
    <w:rsid w:val="006B2B46"/>
    <w:rsid w:val="006B30E0"/>
    <w:rsid w:val="006B56F0"/>
    <w:rsid w:val="006B5804"/>
    <w:rsid w:val="006C0EE7"/>
    <w:rsid w:val="006C27A3"/>
    <w:rsid w:val="006C5B55"/>
    <w:rsid w:val="006C5DA9"/>
    <w:rsid w:val="006D09F6"/>
    <w:rsid w:val="006D1675"/>
    <w:rsid w:val="006D3E1C"/>
    <w:rsid w:val="006D3FCB"/>
    <w:rsid w:val="006D4424"/>
    <w:rsid w:val="006D488D"/>
    <w:rsid w:val="006D4930"/>
    <w:rsid w:val="006D6B6A"/>
    <w:rsid w:val="006E01F0"/>
    <w:rsid w:val="006E1E5D"/>
    <w:rsid w:val="006E2327"/>
    <w:rsid w:val="006E2F57"/>
    <w:rsid w:val="006E3655"/>
    <w:rsid w:val="006E3A89"/>
    <w:rsid w:val="006E55ED"/>
    <w:rsid w:val="006E5612"/>
    <w:rsid w:val="006E56C2"/>
    <w:rsid w:val="006E7CE2"/>
    <w:rsid w:val="006F04CE"/>
    <w:rsid w:val="006F1296"/>
    <w:rsid w:val="006F172C"/>
    <w:rsid w:val="006F1763"/>
    <w:rsid w:val="006F5EB7"/>
    <w:rsid w:val="006F70EC"/>
    <w:rsid w:val="00700C1E"/>
    <w:rsid w:val="00702865"/>
    <w:rsid w:val="007037A4"/>
    <w:rsid w:val="00704D16"/>
    <w:rsid w:val="00705829"/>
    <w:rsid w:val="00705AE3"/>
    <w:rsid w:val="00706D7C"/>
    <w:rsid w:val="0070736C"/>
    <w:rsid w:val="00712054"/>
    <w:rsid w:val="00712DEF"/>
    <w:rsid w:val="00713883"/>
    <w:rsid w:val="00714579"/>
    <w:rsid w:val="00715E52"/>
    <w:rsid w:val="00716137"/>
    <w:rsid w:val="00716DEB"/>
    <w:rsid w:val="00717F80"/>
    <w:rsid w:val="00717FBB"/>
    <w:rsid w:val="00722829"/>
    <w:rsid w:val="00722C41"/>
    <w:rsid w:val="00723199"/>
    <w:rsid w:val="007232DC"/>
    <w:rsid w:val="00723C8D"/>
    <w:rsid w:val="007245EE"/>
    <w:rsid w:val="00725028"/>
    <w:rsid w:val="00726A4E"/>
    <w:rsid w:val="007319EA"/>
    <w:rsid w:val="00731A5E"/>
    <w:rsid w:val="00731EC8"/>
    <w:rsid w:val="00733970"/>
    <w:rsid w:val="0073656F"/>
    <w:rsid w:val="00741669"/>
    <w:rsid w:val="00743967"/>
    <w:rsid w:val="00747E55"/>
    <w:rsid w:val="0075093F"/>
    <w:rsid w:val="00755DA0"/>
    <w:rsid w:val="00757439"/>
    <w:rsid w:val="00757BE7"/>
    <w:rsid w:val="00757E53"/>
    <w:rsid w:val="00760B9A"/>
    <w:rsid w:val="007624FA"/>
    <w:rsid w:val="0076293F"/>
    <w:rsid w:val="00765E14"/>
    <w:rsid w:val="00767EDF"/>
    <w:rsid w:val="00771116"/>
    <w:rsid w:val="007712E4"/>
    <w:rsid w:val="00772F9A"/>
    <w:rsid w:val="007756FF"/>
    <w:rsid w:val="0077651A"/>
    <w:rsid w:val="00776C6D"/>
    <w:rsid w:val="007773C2"/>
    <w:rsid w:val="0078025D"/>
    <w:rsid w:val="007806B1"/>
    <w:rsid w:val="00783F44"/>
    <w:rsid w:val="0078470C"/>
    <w:rsid w:val="00785668"/>
    <w:rsid w:val="00785A8A"/>
    <w:rsid w:val="00785C74"/>
    <w:rsid w:val="00786144"/>
    <w:rsid w:val="007871B5"/>
    <w:rsid w:val="00787494"/>
    <w:rsid w:val="007908F7"/>
    <w:rsid w:val="00790BF6"/>
    <w:rsid w:val="00790ED3"/>
    <w:rsid w:val="007927F7"/>
    <w:rsid w:val="00794480"/>
    <w:rsid w:val="00797059"/>
    <w:rsid w:val="00797744"/>
    <w:rsid w:val="00797EE4"/>
    <w:rsid w:val="007A2079"/>
    <w:rsid w:val="007A225E"/>
    <w:rsid w:val="007A26AC"/>
    <w:rsid w:val="007A2B88"/>
    <w:rsid w:val="007A3E04"/>
    <w:rsid w:val="007A4662"/>
    <w:rsid w:val="007A4765"/>
    <w:rsid w:val="007A63D3"/>
    <w:rsid w:val="007A7FAC"/>
    <w:rsid w:val="007B0300"/>
    <w:rsid w:val="007B0955"/>
    <w:rsid w:val="007B0C04"/>
    <w:rsid w:val="007B30AE"/>
    <w:rsid w:val="007C0656"/>
    <w:rsid w:val="007C264E"/>
    <w:rsid w:val="007C3281"/>
    <w:rsid w:val="007C4681"/>
    <w:rsid w:val="007C50A7"/>
    <w:rsid w:val="007C6567"/>
    <w:rsid w:val="007C7DC7"/>
    <w:rsid w:val="007D1DE3"/>
    <w:rsid w:val="007D203C"/>
    <w:rsid w:val="007D28F5"/>
    <w:rsid w:val="007D3386"/>
    <w:rsid w:val="007D3D52"/>
    <w:rsid w:val="007D57C4"/>
    <w:rsid w:val="007D7AA2"/>
    <w:rsid w:val="007D7D27"/>
    <w:rsid w:val="007D7F16"/>
    <w:rsid w:val="007E2D8C"/>
    <w:rsid w:val="007E3185"/>
    <w:rsid w:val="007E5C3D"/>
    <w:rsid w:val="007E6342"/>
    <w:rsid w:val="007E6982"/>
    <w:rsid w:val="007E6EAC"/>
    <w:rsid w:val="007F1322"/>
    <w:rsid w:val="007F32CB"/>
    <w:rsid w:val="007F3FB7"/>
    <w:rsid w:val="007F6524"/>
    <w:rsid w:val="007F7045"/>
    <w:rsid w:val="00800A2B"/>
    <w:rsid w:val="00801C2C"/>
    <w:rsid w:val="00804A61"/>
    <w:rsid w:val="00806C1C"/>
    <w:rsid w:val="0080761A"/>
    <w:rsid w:val="00812280"/>
    <w:rsid w:val="008135F8"/>
    <w:rsid w:val="00821625"/>
    <w:rsid w:val="00824076"/>
    <w:rsid w:val="00826757"/>
    <w:rsid w:val="00826947"/>
    <w:rsid w:val="00827B7C"/>
    <w:rsid w:val="008333F1"/>
    <w:rsid w:val="008377E9"/>
    <w:rsid w:val="00840196"/>
    <w:rsid w:val="008411AC"/>
    <w:rsid w:val="00842044"/>
    <w:rsid w:val="00842767"/>
    <w:rsid w:val="00843727"/>
    <w:rsid w:val="008443DC"/>
    <w:rsid w:val="00844FCE"/>
    <w:rsid w:val="00846E6D"/>
    <w:rsid w:val="00847CA8"/>
    <w:rsid w:val="00847F00"/>
    <w:rsid w:val="00852661"/>
    <w:rsid w:val="008540B4"/>
    <w:rsid w:val="008555BE"/>
    <w:rsid w:val="00857AEF"/>
    <w:rsid w:val="00861B61"/>
    <w:rsid w:val="008628E3"/>
    <w:rsid w:val="008630E3"/>
    <w:rsid w:val="008637B2"/>
    <w:rsid w:val="0086390C"/>
    <w:rsid w:val="008664A2"/>
    <w:rsid w:val="00874DA5"/>
    <w:rsid w:val="00874E44"/>
    <w:rsid w:val="00874EAD"/>
    <w:rsid w:val="00875CC0"/>
    <w:rsid w:val="00876A3D"/>
    <w:rsid w:val="008774CD"/>
    <w:rsid w:val="008774F7"/>
    <w:rsid w:val="00880081"/>
    <w:rsid w:val="0088056D"/>
    <w:rsid w:val="008805D2"/>
    <w:rsid w:val="008811D7"/>
    <w:rsid w:val="008815C8"/>
    <w:rsid w:val="008839C7"/>
    <w:rsid w:val="0088401B"/>
    <w:rsid w:val="00886170"/>
    <w:rsid w:val="00886328"/>
    <w:rsid w:val="00887586"/>
    <w:rsid w:val="00887DFE"/>
    <w:rsid w:val="008923B6"/>
    <w:rsid w:val="00892440"/>
    <w:rsid w:val="00894271"/>
    <w:rsid w:val="00894735"/>
    <w:rsid w:val="00895F0C"/>
    <w:rsid w:val="0089696D"/>
    <w:rsid w:val="008A051F"/>
    <w:rsid w:val="008A1128"/>
    <w:rsid w:val="008A21FE"/>
    <w:rsid w:val="008A3CD6"/>
    <w:rsid w:val="008A47B5"/>
    <w:rsid w:val="008A4D80"/>
    <w:rsid w:val="008A4DF2"/>
    <w:rsid w:val="008A58A2"/>
    <w:rsid w:val="008B137B"/>
    <w:rsid w:val="008B2602"/>
    <w:rsid w:val="008B3D8B"/>
    <w:rsid w:val="008B3EB8"/>
    <w:rsid w:val="008B4200"/>
    <w:rsid w:val="008B54AE"/>
    <w:rsid w:val="008B6F8D"/>
    <w:rsid w:val="008C0A74"/>
    <w:rsid w:val="008C1101"/>
    <w:rsid w:val="008C5C8E"/>
    <w:rsid w:val="008C69C1"/>
    <w:rsid w:val="008D2F0F"/>
    <w:rsid w:val="008D396C"/>
    <w:rsid w:val="008D5EB4"/>
    <w:rsid w:val="008D6C6E"/>
    <w:rsid w:val="008D7C75"/>
    <w:rsid w:val="008E257B"/>
    <w:rsid w:val="008E2D75"/>
    <w:rsid w:val="008E4646"/>
    <w:rsid w:val="008E47D1"/>
    <w:rsid w:val="008E6928"/>
    <w:rsid w:val="008E6B2D"/>
    <w:rsid w:val="008F0065"/>
    <w:rsid w:val="008F143A"/>
    <w:rsid w:val="008F20BA"/>
    <w:rsid w:val="008F3C02"/>
    <w:rsid w:val="008F5B71"/>
    <w:rsid w:val="008F606F"/>
    <w:rsid w:val="009004EA"/>
    <w:rsid w:val="0090082D"/>
    <w:rsid w:val="009016E2"/>
    <w:rsid w:val="00902399"/>
    <w:rsid w:val="00902835"/>
    <w:rsid w:val="00903212"/>
    <w:rsid w:val="00904468"/>
    <w:rsid w:val="00904EC4"/>
    <w:rsid w:val="009058B5"/>
    <w:rsid w:val="00905A6C"/>
    <w:rsid w:val="00905DBB"/>
    <w:rsid w:val="00907410"/>
    <w:rsid w:val="00907C04"/>
    <w:rsid w:val="00910D75"/>
    <w:rsid w:val="00913126"/>
    <w:rsid w:val="009141D3"/>
    <w:rsid w:val="00914AC8"/>
    <w:rsid w:val="00914E20"/>
    <w:rsid w:val="00915D70"/>
    <w:rsid w:val="00916E5D"/>
    <w:rsid w:val="00917D93"/>
    <w:rsid w:val="0092133E"/>
    <w:rsid w:val="00921EC7"/>
    <w:rsid w:val="009222D7"/>
    <w:rsid w:val="00922719"/>
    <w:rsid w:val="0092482C"/>
    <w:rsid w:val="00924F61"/>
    <w:rsid w:val="009269B6"/>
    <w:rsid w:val="0092784C"/>
    <w:rsid w:val="00927EF2"/>
    <w:rsid w:val="009325DE"/>
    <w:rsid w:val="00932DE3"/>
    <w:rsid w:val="00933317"/>
    <w:rsid w:val="00933395"/>
    <w:rsid w:val="00933722"/>
    <w:rsid w:val="00933A8F"/>
    <w:rsid w:val="00935035"/>
    <w:rsid w:val="009355D5"/>
    <w:rsid w:val="009403ED"/>
    <w:rsid w:val="00941FF1"/>
    <w:rsid w:val="00942D94"/>
    <w:rsid w:val="00943884"/>
    <w:rsid w:val="00944E55"/>
    <w:rsid w:val="00945289"/>
    <w:rsid w:val="00945AC8"/>
    <w:rsid w:val="00945E81"/>
    <w:rsid w:val="009461ED"/>
    <w:rsid w:val="00947B45"/>
    <w:rsid w:val="00947BD3"/>
    <w:rsid w:val="009525DA"/>
    <w:rsid w:val="0095317E"/>
    <w:rsid w:val="009538E6"/>
    <w:rsid w:val="009540D7"/>
    <w:rsid w:val="00955C40"/>
    <w:rsid w:val="00956FCF"/>
    <w:rsid w:val="009604E2"/>
    <w:rsid w:val="00961A76"/>
    <w:rsid w:val="0096228D"/>
    <w:rsid w:val="00965038"/>
    <w:rsid w:val="0096547C"/>
    <w:rsid w:val="00967EAA"/>
    <w:rsid w:val="009704E4"/>
    <w:rsid w:val="0097093A"/>
    <w:rsid w:val="0097387D"/>
    <w:rsid w:val="009749A6"/>
    <w:rsid w:val="00975679"/>
    <w:rsid w:val="009768A1"/>
    <w:rsid w:val="009775C7"/>
    <w:rsid w:val="0098115D"/>
    <w:rsid w:val="009811A2"/>
    <w:rsid w:val="00981ACE"/>
    <w:rsid w:val="00981C90"/>
    <w:rsid w:val="00984891"/>
    <w:rsid w:val="009853E6"/>
    <w:rsid w:val="00985693"/>
    <w:rsid w:val="009876E2"/>
    <w:rsid w:val="00990187"/>
    <w:rsid w:val="00990E03"/>
    <w:rsid w:val="009929F3"/>
    <w:rsid w:val="00992F99"/>
    <w:rsid w:val="00993DB9"/>
    <w:rsid w:val="00994594"/>
    <w:rsid w:val="009966B1"/>
    <w:rsid w:val="009A0305"/>
    <w:rsid w:val="009A2717"/>
    <w:rsid w:val="009A3BE8"/>
    <w:rsid w:val="009A45A7"/>
    <w:rsid w:val="009A4B59"/>
    <w:rsid w:val="009A4EB9"/>
    <w:rsid w:val="009B383A"/>
    <w:rsid w:val="009B436C"/>
    <w:rsid w:val="009B5276"/>
    <w:rsid w:val="009B5725"/>
    <w:rsid w:val="009B596E"/>
    <w:rsid w:val="009B6C09"/>
    <w:rsid w:val="009C1BBA"/>
    <w:rsid w:val="009C1D9C"/>
    <w:rsid w:val="009C1E53"/>
    <w:rsid w:val="009C22BE"/>
    <w:rsid w:val="009C2ACB"/>
    <w:rsid w:val="009C50EF"/>
    <w:rsid w:val="009C56E5"/>
    <w:rsid w:val="009D0CF7"/>
    <w:rsid w:val="009D1031"/>
    <w:rsid w:val="009D140E"/>
    <w:rsid w:val="009D27D2"/>
    <w:rsid w:val="009D3E5F"/>
    <w:rsid w:val="009D7545"/>
    <w:rsid w:val="009E1582"/>
    <w:rsid w:val="009E231A"/>
    <w:rsid w:val="009E2F64"/>
    <w:rsid w:val="009E33B6"/>
    <w:rsid w:val="009E3913"/>
    <w:rsid w:val="009E5C29"/>
    <w:rsid w:val="009F1E7A"/>
    <w:rsid w:val="009F2015"/>
    <w:rsid w:val="009F5B44"/>
    <w:rsid w:val="009F5EDA"/>
    <w:rsid w:val="009F6D53"/>
    <w:rsid w:val="009F76E6"/>
    <w:rsid w:val="00A00751"/>
    <w:rsid w:val="00A0236D"/>
    <w:rsid w:val="00A02DDF"/>
    <w:rsid w:val="00A0428F"/>
    <w:rsid w:val="00A04FB6"/>
    <w:rsid w:val="00A057C9"/>
    <w:rsid w:val="00A10A6B"/>
    <w:rsid w:val="00A10E2B"/>
    <w:rsid w:val="00A12853"/>
    <w:rsid w:val="00A136F6"/>
    <w:rsid w:val="00A13BBA"/>
    <w:rsid w:val="00A15C91"/>
    <w:rsid w:val="00A175F9"/>
    <w:rsid w:val="00A21A85"/>
    <w:rsid w:val="00A23068"/>
    <w:rsid w:val="00A23607"/>
    <w:rsid w:val="00A23A12"/>
    <w:rsid w:val="00A24F33"/>
    <w:rsid w:val="00A30084"/>
    <w:rsid w:val="00A302EB"/>
    <w:rsid w:val="00A32E25"/>
    <w:rsid w:val="00A334F8"/>
    <w:rsid w:val="00A35D27"/>
    <w:rsid w:val="00A3617D"/>
    <w:rsid w:val="00A36457"/>
    <w:rsid w:val="00A377F8"/>
    <w:rsid w:val="00A37A37"/>
    <w:rsid w:val="00A37B59"/>
    <w:rsid w:val="00A4371A"/>
    <w:rsid w:val="00A44146"/>
    <w:rsid w:val="00A45703"/>
    <w:rsid w:val="00A479A0"/>
    <w:rsid w:val="00A47B37"/>
    <w:rsid w:val="00A47FD8"/>
    <w:rsid w:val="00A50241"/>
    <w:rsid w:val="00A50895"/>
    <w:rsid w:val="00A51B64"/>
    <w:rsid w:val="00A53DA7"/>
    <w:rsid w:val="00A61478"/>
    <w:rsid w:val="00A6229B"/>
    <w:rsid w:val="00A6318F"/>
    <w:rsid w:val="00A63BF1"/>
    <w:rsid w:val="00A6740D"/>
    <w:rsid w:val="00A67641"/>
    <w:rsid w:val="00A71753"/>
    <w:rsid w:val="00A71961"/>
    <w:rsid w:val="00A73318"/>
    <w:rsid w:val="00A73A3A"/>
    <w:rsid w:val="00A74405"/>
    <w:rsid w:val="00A7522F"/>
    <w:rsid w:val="00A754BB"/>
    <w:rsid w:val="00A75DAF"/>
    <w:rsid w:val="00A764CC"/>
    <w:rsid w:val="00A77D9E"/>
    <w:rsid w:val="00A80A8D"/>
    <w:rsid w:val="00A81195"/>
    <w:rsid w:val="00A85946"/>
    <w:rsid w:val="00A862BD"/>
    <w:rsid w:val="00A87036"/>
    <w:rsid w:val="00A91637"/>
    <w:rsid w:val="00A92828"/>
    <w:rsid w:val="00A93867"/>
    <w:rsid w:val="00A93DDA"/>
    <w:rsid w:val="00A95F8D"/>
    <w:rsid w:val="00A96EB1"/>
    <w:rsid w:val="00A96F8B"/>
    <w:rsid w:val="00AA1152"/>
    <w:rsid w:val="00AA3A05"/>
    <w:rsid w:val="00AA3C87"/>
    <w:rsid w:val="00AA404C"/>
    <w:rsid w:val="00AA44D4"/>
    <w:rsid w:val="00AA50B8"/>
    <w:rsid w:val="00AA7ADC"/>
    <w:rsid w:val="00AB208C"/>
    <w:rsid w:val="00AB27E9"/>
    <w:rsid w:val="00AB38BC"/>
    <w:rsid w:val="00AB4B6B"/>
    <w:rsid w:val="00AB7C9D"/>
    <w:rsid w:val="00AC01C7"/>
    <w:rsid w:val="00AC18A0"/>
    <w:rsid w:val="00AC3FE2"/>
    <w:rsid w:val="00AC66A4"/>
    <w:rsid w:val="00AC688A"/>
    <w:rsid w:val="00AC7E1E"/>
    <w:rsid w:val="00AD0E52"/>
    <w:rsid w:val="00AD2205"/>
    <w:rsid w:val="00AD2885"/>
    <w:rsid w:val="00AD4063"/>
    <w:rsid w:val="00AD4E6F"/>
    <w:rsid w:val="00AD5386"/>
    <w:rsid w:val="00AD5D36"/>
    <w:rsid w:val="00AD7626"/>
    <w:rsid w:val="00AE016C"/>
    <w:rsid w:val="00AE06FD"/>
    <w:rsid w:val="00AE1E9C"/>
    <w:rsid w:val="00AE2F59"/>
    <w:rsid w:val="00AE3984"/>
    <w:rsid w:val="00AE4F86"/>
    <w:rsid w:val="00AE567F"/>
    <w:rsid w:val="00AE6DAF"/>
    <w:rsid w:val="00AE732F"/>
    <w:rsid w:val="00AE7DE4"/>
    <w:rsid w:val="00AF1005"/>
    <w:rsid w:val="00AF2A58"/>
    <w:rsid w:val="00AF6A39"/>
    <w:rsid w:val="00AF6FD9"/>
    <w:rsid w:val="00AF7D3E"/>
    <w:rsid w:val="00B003A2"/>
    <w:rsid w:val="00B02210"/>
    <w:rsid w:val="00B05D9C"/>
    <w:rsid w:val="00B05F5C"/>
    <w:rsid w:val="00B0662A"/>
    <w:rsid w:val="00B101F6"/>
    <w:rsid w:val="00B1086D"/>
    <w:rsid w:val="00B1138A"/>
    <w:rsid w:val="00B12446"/>
    <w:rsid w:val="00B1329B"/>
    <w:rsid w:val="00B14B93"/>
    <w:rsid w:val="00B1777B"/>
    <w:rsid w:val="00B20AEC"/>
    <w:rsid w:val="00B218C3"/>
    <w:rsid w:val="00B22BD4"/>
    <w:rsid w:val="00B25730"/>
    <w:rsid w:val="00B26B22"/>
    <w:rsid w:val="00B30233"/>
    <w:rsid w:val="00B31DC8"/>
    <w:rsid w:val="00B322D8"/>
    <w:rsid w:val="00B3375A"/>
    <w:rsid w:val="00B33D89"/>
    <w:rsid w:val="00B33DCE"/>
    <w:rsid w:val="00B3539E"/>
    <w:rsid w:val="00B36E8E"/>
    <w:rsid w:val="00B375EB"/>
    <w:rsid w:val="00B41272"/>
    <w:rsid w:val="00B413A2"/>
    <w:rsid w:val="00B41921"/>
    <w:rsid w:val="00B4197C"/>
    <w:rsid w:val="00B426FE"/>
    <w:rsid w:val="00B42D47"/>
    <w:rsid w:val="00B4617E"/>
    <w:rsid w:val="00B46974"/>
    <w:rsid w:val="00B470F5"/>
    <w:rsid w:val="00B50FB7"/>
    <w:rsid w:val="00B511D6"/>
    <w:rsid w:val="00B5168A"/>
    <w:rsid w:val="00B53D30"/>
    <w:rsid w:val="00B573B9"/>
    <w:rsid w:val="00B577E0"/>
    <w:rsid w:val="00B57D32"/>
    <w:rsid w:val="00B57E8B"/>
    <w:rsid w:val="00B612FD"/>
    <w:rsid w:val="00B61327"/>
    <w:rsid w:val="00B6209D"/>
    <w:rsid w:val="00B63178"/>
    <w:rsid w:val="00B64360"/>
    <w:rsid w:val="00B648CC"/>
    <w:rsid w:val="00B66B2B"/>
    <w:rsid w:val="00B67250"/>
    <w:rsid w:val="00B7074C"/>
    <w:rsid w:val="00B71988"/>
    <w:rsid w:val="00B72ADD"/>
    <w:rsid w:val="00B7346A"/>
    <w:rsid w:val="00B77043"/>
    <w:rsid w:val="00B77F0D"/>
    <w:rsid w:val="00B80C9F"/>
    <w:rsid w:val="00B8264F"/>
    <w:rsid w:val="00B82FE5"/>
    <w:rsid w:val="00B834CA"/>
    <w:rsid w:val="00B85F62"/>
    <w:rsid w:val="00B86D06"/>
    <w:rsid w:val="00B91ED2"/>
    <w:rsid w:val="00B924A5"/>
    <w:rsid w:val="00B929A3"/>
    <w:rsid w:val="00B93A5C"/>
    <w:rsid w:val="00B93AD9"/>
    <w:rsid w:val="00B9539F"/>
    <w:rsid w:val="00B957EC"/>
    <w:rsid w:val="00B96072"/>
    <w:rsid w:val="00B962A2"/>
    <w:rsid w:val="00B9678D"/>
    <w:rsid w:val="00BA0EE8"/>
    <w:rsid w:val="00BA107B"/>
    <w:rsid w:val="00BA55A1"/>
    <w:rsid w:val="00BA55AB"/>
    <w:rsid w:val="00BA66F0"/>
    <w:rsid w:val="00BA67E7"/>
    <w:rsid w:val="00BA7464"/>
    <w:rsid w:val="00BA79A1"/>
    <w:rsid w:val="00BB113D"/>
    <w:rsid w:val="00BB2745"/>
    <w:rsid w:val="00BB2890"/>
    <w:rsid w:val="00BB489A"/>
    <w:rsid w:val="00BB52DC"/>
    <w:rsid w:val="00BB5416"/>
    <w:rsid w:val="00BB712B"/>
    <w:rsid w:val="00BB793B"/>
    <w:rsid w:val="00BC05B6"/>
    <w:rsid w:val="00BC1DE4"/>
    <w:rsid w:val="00BC3092"/>
    <w:rsid w:val="00BC3333"/>
    <w:rsid w:val="00BC770A"/>
    <w:rsid w:val="00BC7B5A"/>
    <w:rsid w:val="00BC7C47"/>
    <w:rsid w:val="00BD0156"/>
    <w:rsid w:val="00BD0EF4"/>
    <w:rsid w:val="00BD1174"/>
    <w:rsid w:val="00BD2A2C"/>
    <w:rsid w:val="00BD54CB"/>
    <w:rsid w:val="00BD5B1E"/>
    <w:rsid w:val="00BD70FB"/>
    <w:rsid w:val="00BE27B5"/>
    <w:rsid w:val="00BE427A"/>
    <w:rsid w:val="00BE4416"/>
    <w:rsid w:val="00BE6737"/>
    <w:rsid w:val="00BF1652"/>
    <w:rsid w:val="00BF1BAC"/>
    <w:rsid w:val="00BF2681"/>
    <w:rsid w:val="00BF2F50"/>
    <w:rsid w:val="00BF3040"/>
    <w:rsid w:val="00BF3525"/>
    <w:rsid w:val="00BF38BD"/>
    <w:rsid w:val="00BF47B9"/>
    <w:rsid w:val="00BF5A75"/>
    <w:rsid w:val="00BF690E"/>
    <w:rsid w:val="00BF6AD9"/>
    <w:rsid w:val="00BF6FDF"/>
    <w:rsid w:val="00C00082"/>
    <w:rsid w:val="00C02CCE"/>
    <w:rsid w:val="00C034F9"/>
    <w:rsid w:val="00C038BB"/>
    <w:rsid w:val="00C03C96"/>
    <w:rsid w:val="00C03F36"/>
    <w:rsid w:val="00C04050"/>
    <w:rsid w:val="00C04F7D"/>
    <w:rsid w:val="00C053D5"/>
    <w:rsid w:val="00C05E52"/>
    <w:rsid w:val="00C06265"/>
    <w:rsid w:val="00C11F1A"/>
    <w:rsid w:val="00C13155"/>
    <w:rsid w:val="00C148CA"/>
    <w:rsid w:val="00C2454C"/>
    <w:rsid w:val="00C2560B"/>
    <w:rsid w:val="00C25EE3"/>
    <w:rsid w:val="00C2611A"/>
    <w:rsid w:val="00C2771C"/>
    <w:rsid w:val="00C31D6E"/>
    <w:rsid w:val="00C35E14"/>
    <w:rsid w:val="00C37003"/>
    <w:rsid w:val="00C37E74"/>
    <w:rsid w:val="00C41BA6"/>
    <w:rsid w:val="00C428EE"/>
    <w:rsid w:val="00C439F0"/>
    <w:rsid w:val="00C44981"/>
    <w:rsid w:val="00C45927"/>
    <w:rsid w:val="00C47716"/>
    <w:rsid w:val="00C50BBB"/>
    <w:rsid w:val="00C51C62"/>
    <w:rsid w:val="00C52BB1"/>
    <w:rsid w:val="00C54125"/>
    <w:rsid w:val="00C554AD"/>
    <w:rsid w:val="00C5581F"/>
    <w:rsid w:val="00C56269"/>
    <w:rsid w:val="00C56723"/>
    <w:rsid w:val="00C56E74"/>
    <w:rsid w:val="00C61566"/>
    <w:rsid w:val="00C619AA"/>
    <w:rsid w:val="00C620E9"/>
    <w:rsid w:val="00C62FBB"/>
    <w:rsid w:val="00C63294"/>
    <w:rsid w:val="00C6365B"/>
    <w:rsid w:val="00C645B7"/>
    <w:rsid w:val="00C6692F"/>
    <w:rsid w:val="00C66E23"/>
    <w:rsid w:val="00C67B1D"/>
    <w:rsid w:val="00C71D96"/>
    <w:rsid w:val="00C72D6E"/>
    <w:rsid w:val="00C72E01"/>
    <w:rsid w:val="00C75963"/>
    <w:rsid w:val="00C75A09"/>
    <w:rsid w:val="00C75DFE"/>
    <w:rsid w:val="00C77300"/>
    <w:rsid w:val="00C77DC6"/>
    <w:rsid w:val="00C801DA"/>
    <w:rsid w:val="00C807C5"/>
    <w:rsid w:val="00C839E0"/>
    <w:rsid w:val="00C850E0"/>
    <w:rsid w:val="00C87F37"/>
    <w:rsid w:val="00C926F0"/>
    <w:rsid w:val="00C95B00"/>
    <w:rsid w:val="00C95DC0"/>
    <w:rsid w:val="00C96428"/>
    <w:rsid w:val="00C9656D"/>
    <w:rsid w:val="00CA11AF"/>
    <w:rsid w:val="00CA40AE"/>
    <w:rsid w:val="00CA43D0"/>
    <w:rsid w:val="00CA49E3"/>
    <w:rsid w:val="00CA4AFC"/>
    <w:rsid w:val="00CA4CB8"/>
    <w:rsid w:val="00CA541D"/>
    <w:rsid w:val="00CA5951"/>
    <w:rsid w:val="00CA7FFE"/>
    <w:rsid w:val="00CB1E2B"/>
    <w:rsid w:val="00CB1EA7"/>
    <w:rsid w:val="00CB623A"/>
    <w:rsid w:val="00CB66EE"/>
    <w:rsid w:val="00CC06E7"/>
    <w:rsid w:val="00CC0ADB"/>
    <w:rsid w:val="00CC1899"/>
    <w:rsid w:val="00CD13B3"/>
    <w:rsid w:val="00CD18A8"/>
    <w:rsid w:val="00CD4827"/>
    <w:rsid w:val="00CD5F32"/>
    <w:rsid w:val="00CD6A5A"/>
    <w:rsid w:val="00CE407E"/>
    <w:rsid w:val="00CE424D"/>
    <w:rsid w:val="00CE4480"/>
    <w:rsid w:val="00CE6507"/>
    <w:rsid w:val="00CF0286"/>
    <w:rsid w:val="00CF1082"/>
    <w:rsid w:val="00CF13EB"/>
    <w:rsid w:val="00CF1995"/>
    <w:rsid w:val="00CF2672"/>
    <w:rsid w:val="00CF273F"/>
    <w:rsid w:val="00CF30E2"/>
    <w:rsid w:val="00CF41CE"/>
    <w:rsid w:val="00CF461E"/>
    <w:rsid w:val="00CF6D73"/>
    <w:rsid w:val="00D00639"/>
    <w:rsid w:val="00D038E2"/>
    <w:rsid w:val="00D04063"/>
    <w:rsid w:val="00D0675B"/>
    <w:rsid w:val="00D070BC"/>
    <w:rsid w:val="00D1476E"/>
    <w:rsid w:val="00D152B1"/>
    <w:rsid w:val="00D152E5"/>
    <w:rsid w:val="00D20679"/>
    <w:rsid w:val="00D210C2"/>
    <w:rsid w:val="00D21D6D"/>
    <w:rsid w:val="00D26218"/>
    <w:rsid w:val="00D268E3"/>
    <w:rsid w:val="00D2745B"/>
    <w:rsid w:val="00D27EDB"/>
    <w:rsid w:val="00D27F4B"/>
    <w:rsid w:val="00D312A3"/>
    <w:rsid w:val="00D319AA"/>
    <w:rsid w:val="00D31CB4"/>
    <w:rsid w:val="00D32CDB"/>
    <w:rsid w:val="00D33164"/>
    <w:rsid w:val="00D33403"/>
    <w:rsid w:val="00D33D7B"/>
    <w:rsid w:val="00D36603"/>
    <w:rsid w:val="00D372F1"/>
    <w:rsid w:val="00D37D62"/>
    <w:rsid w:val="00D41D25"/>
    <w:rsid w:val="00D42AC1"/>
    <w:rsid w:val="00D43AAB"/>
    <w:rsid w:val="00D43B5F"/>
    <w:rsid w:val="00D46CD8"/>
    <w:rsid w:val="00D5024E"/>
    <w:rsid w:val="00D5057E"/>
    <w:rsid w:val="00D50EE1"/>
    <w:rsid w:val="00D51B16"/>
    <w:rsid w:val="00D52FC5"/>
    <w:rsid w:val="00D539A7"/>
    <w:rsid w:val="00D5491D"/>
    <w:rsid w:val="00D55626"/>
    <w:rsid w:val="00D62657"/>
    <w:rsid w:val="00D626ED"/>
    <w:rsid w:val="00D63C59"/>
    <w:rsid w:val="00D63FAF"/>
    <w:rsid w:val="00D643C2"/>
    <w:rsid w:val="00D66E5F"/>
    <w:rsid w:val="00D70907"/>
    <w:rsid w:val="00D713C4"/>
    <w:rsid w:val="00D73DDA"/>
    <w:rsid w:val="00D74FE0"/>
    <w:rsid w:val="00D77877"/>
    <w:rsid w:val="00D806B0"/>
    <w:rsid w:val="00D8260B"/>
    <w:rsid w:val="00D82B6D"/>
    <w:rsid w:val="00D830AE"/>
    <w:rsid w:val="00D836E5"/>
    <w:rsid w:val="00D861C7"/>
    <w:rsid w:val="00D86552"/>
    <w:rsid w:val="00D9005A"/>
    <w:rsid w:val="00D91566"/>
    <w:rsid w:val="00D926CE"/>
    <w:rsid w:val="00D937B0"/>
    <w:rsid w:val="00D938BF"/>
    <w:rsid w:val="00D94D11"/>
    <w:rsid w:val="00D96D02"/>
    <w:rsid w:val="00D97DCC"/>
    <w:rsid w:val="00DA05F7"/>
    <w:rsid w:val="00DA09E0"/>
    <w:rsid w:val="00DA1ABD"/>
    <w:rsid w:val="00DA4A94"/>
    <w:rsid w:val="00DA54C5"/>
    <w:rsid w:val="00DA723C"/>
    <w:rsid w:val="00DA77E3"/>
    <w:rsid w:val="00DB2507"/>
    <w:rsid w:val="00DB2E35"/>
    <w:rsid w:val="00DB30D7"/>
    <w:rsid w:val="00DB44D7"/>
    <w:rsid w:val="00DB5178"/>
    <w:rsid w:val="00DB599C"/>
    <w:rsid w:val="00DC078C"/>
    <w:rsid w:val="00DC0BDE"/>
    <w:rsid w:val="00DC2669"/>
    <w:rsid w:val="00DC4ACC"/>
    <w:rsid w:val="00DC5AA9"/>
    <w:rsid w:val="00DC5F5C"/>
    <w:rsid w:val="00DC7228"/>
    <w:rsid w:val="00DD010E"/>
    <w:rsid w:val="00DD1B56"/>
    <w:rsid w:val="00DD5C55"/>
    <w:rsid w:val="00DD694A"/>
    <w:rsid w:val="00DD711F"/>
    <w:rsid w:val="00DE1C57"/>
    <w:rsid w:val="00DE2C71"/>
    <w:rsid w:val="00DE2D5E"/>
    <w:rsid w:val="00DE4CA6"/>
    <w:rsid w:val="00DE4F6D"/>
    <w:rsid w:val="00DE5066"/>
    <w:rsid w:val="00DE6290"/>
    <w:rsid w:val="00DE636B"/>
    <w:rsid w:val="00DE755E"/>
    <w:rsid w:val="00DE7B74"/>
    <w:rsid w:val="00DF2093"/>
    <w:rsid w:val="00DF3A2C"/>
    <w:rsid w:val="00DF46DA"/>
    <w:rsid w:val="00DF678B"/>
    <w:rsid w:val="00DF6E14"/>
    <w:rsid w:val="00DF74BF"/>
    <w:rsid w:val="00DF759E"/>
    <w:rsid w:val="00E0072A"/>
    <w:rsid w:val="00E00F8F"/>
    <w:rsid w:val="00E0272A"/>
    <w:rsid w:val="00E02F72"/>
    <w:rsid w:val="00E04B90"/>
    <w:rsid w:val="00E0646F"/>
    <w:rsid w:val="00E06B95"/>
    <w:rsid w:val="00E07387"/>
    <w:rsid w:val="00E07C02"/>
    <w:rsid w:val="00E123CB"/>
    <w:rsid w:val="00E144BA"/>
    <w:rsid w:val="00E147BC"/>
    <w:rsid w:val="00E14FA9"/>
    <w:rsid w:val="00E15DA0"/>
    <w:rsid w:val="00E166F9"/>
    <w:rsid w:val="00E16BE7"/>
    <w:rsid w:val="00E17756"/>
    <w:rsid w:val="00E177F0"/>
    <w:rsid w:val="00E17D60"/>
    <w:rsid w:val="00E17E3B"/>
    <w:rsid w:val="00E20210"/>
    <w:rsid w:val="00E2096E"/>
    <w:rsid w:val="00E21D28"/>
    <w:rsid w:val="00E236D0"/>
    <w:rsid w:val="00E24AA6"/>
    <w:rsid w:val="00E26C2B"/>
    <w:rsid w:val="00E27E72"/>
    <w:rsid w:val="00E3382D"/>
    <w:rsid w:val="00E343F2"/>
    <w:rsid w:val="00E35920"/>
    <w:rsid w:val="00E365F8"/>
    <w:rsid w:val="00E4173A"/>
    <w:rsid w:val="00E41A47"/>
    <w:rsid w:val="00E437D4"/>
    <w:rsid w:val="00E459BD"/>
    <w:rsid w:val="00E45A10"/>
    <w:rsid w:val="00E45CFF"/>
    <w:rsid w:val="00E461EF"/>
    <w:rsid w:val="00E46C3D"/>
    <w:rsid w:val="00E52313"/>
    <w:rsid w:val="00E5359D"/>
    <w:rsid w:val="00E5492C"/>
    <w:rsid w:val="00E549DE"/>
    <w:rsid w:val="00E54EC2"/>
    <w:rsid w:val="00E56EC1"/>
    <w:rsid w:val="00E5713E"/>
    <w:rsid w:val="00E57478"/>
    <w:rsid w:val="00E605EB"/>
    <w:rsid w:val="00E60A74"/>
    <w:rsid w:val="00E623A9"/>
    <w:rsid w:val="00E63793"/>
    <w:rsid w:val="00E63EE5"/>
    <w:rsid w:val="00E64D8B"/>
    <w:rsid w:val="00E71FB3"/>
    <w:rsid w:val="00E72A29"/>
    <w:rsid w:val="00E72EDD"/>
    <w:rsid w:val="00E754AD"/>
    <w:rsid w:val="00E81A91"/>
    <w:rsid w:val="00E81B39"/>
    <w:rsid w:val="00E82845"/>
    <w:rsid w:val="00E84058"/>
    <w:rsid w:val="00E86020"/>
    <w:rsid w:val="00E878A1"/>
    <w:rsid w:val="00E87C02"/>
    <w:rsid w:val="00E925E1"/>
    <w:rsid w:val="00E926B7"/>
    <w:rsid w:val="00E93302"/>
    <w:rsid w:val="00E93CBC"/>
    <w:rsid w:val="00E95812"/>
    <w:rsid w:val="00E95948"/>
    <w:rsid w:val="00E96539"/>
    <w:rsid w:val="00EA082E"/>
    <w:rsid w:val="00EA1727"/>
    <w:rsid w:val="00EA2D5D"/>
    <w:rsid w:val="00EA3E8C"/>
    <w:rsid w:val="00EA6BED"/>
    <w:rsid w:val="00EA711C"/>
    <w:rsid w:val="00EA71EC"/>
    <w:rsid w:val="00EB097B"/>
    <w:rsid w:val="00EB1AAA"/>
    <w:rsid w:val="00EB24E3"/>
    <w:rsid w:val="00EB2D37"/>
    <w:rsid w:val="00EB4260"/>
    <w:rsid w:val="00EB5C10"/>
    <w:rsid w:val="00EB734E"/>
    <w:rsid w:val="00EB7446"/>
    <w:rsid w:val="00EB7BF8"/>
    <w:rsid w:val="00EC500B"/>
    <w:rsid w:val="00EC5D2D"/>
    <w:rsid w:val="00EC5F79"/>
    <w:rsid w:val="00EC6755"/>
    <w:rsid w:val="00ED049E"/>
    <w:rsid w:val="00ED16A5"/>
    <w:rsid w:val="00ED217E"/>
    <w:rsid w:val="00ED24F6"/>
    <w:rsid w:val="00ED4D6D"/>
    <w:rsid w:val="00ED56F1"/>
    <w:rsid w:val="00ED7019"/>
    <w:rsid w:val="00EE0768"/>
    <w:rsid w:val="00EE124B"/>
    <w:rsid w:val="00EE25CB"/>
    <w:rsid w:val="00EE36D1"/>
    <w:rsid w:val="00EE3BB3"/>
    <w:rsid w:val="00EE42D9"/>
    <w:rsid w:val="00EE43F1"/>
    <w:rsid w:val="00EE4CEE"/>
    <w:rsid w:val="00EE54D3"/>
    <w:rsid w:val="00EE5632"/>
    <w:rsid w:val="00EE6666"/>
    <w:rsid w:val="00EE67B3"/>
    <w:rsid w:val="00EE6C78"/>
    <w:rsid w:val="00EE71AD"/>
    <w:rsid w:val="00EF3A85"/>
    <w:rsid w:val="00EF3B1E"/>
    <w:rsid w:val="00EF467C"/>
    <w:rsid w:val="00EF4C31"/>
    <w:rsid w:val="00EF5639"/>
    <w:rsid w:val="00EF5829"/>
    <w:rsid w:val="00EF60F4"/>
    <w:rsid w:val="00F058AC"/>
    <w:rsid w:val="00F05EAB"/>
    <w:rsid w:val="00F05ED7"/>
    <w:rsid w:val="00F06094"/>
    <w:rsid w:val="00F11E0F"/>
    <w:rsid w:val="00F12487"/>
    <w:rsid w:val="00F12987"/>
    <w:rsid w:val="00F13A5A"/>
    <w:rsid w:val="00F1600D"/>
    <w:rsid w:val="00F1628C"/>
    <w:rsid w:val="00F16E6E"/>
    <w:rsid w:val="00F21D0F"/>
    <w:rsid w:val="00F23FDD"/>
    <w:rsid w:val="00F25D77"/>
    <w:rsid w:val="00F26773"/>
    <w:rsid w:val="00F2685F"/>
    <w:rsid w:val="00F313FE"/>
    <w:rsid w:val="00F31CA2"/>
    <w:rsid w:val="00F328D8"/>
    <w:rsid w:val="00F33784"/>
    <w:rsid w:val="00F36F21"/>
    <w:rsid w:val="00F373D1"/>
    <w:rsid w:val="00F40039"/>
    <w:rsid w:val="00F40A28"/>
    <w:rsid w:val="00F420CE"/>
    <w:rsid w:val="00F435F1"/>
    <w:rsid w:val="00F44CC4"/>
    <w:rsid w:val="00F4616D"/>
    <w:rsid w:val="00F472D1"/>
    <w:rsid w:val="00F5124F"/>
    <w:rsid w:val="00F60BA5"/>
    <w:rsid w:val="00F665A4"/>
    <w:rsid w:val="00F66CFF"/>
    <w:rsid w:val="00F66E2F"/>
    <w:rsid w:val="00F703EB"/>
    <w:rsid w:val="00F73654"/>
    <w:rsid w:val="00F73DCA"/>
    <w:rsid w:val="00F75654"/>
    <w:rsid w:val="00F77322"/>
    <w:rsid w:val="00F77494"/>
    <w:rsid w:val="00F80407"/>
    <w:rsid w:val="00F812CE"/>
    <w:rsid w:val="00F8137F"/>
    <w:rsid w:val="00F82BDB"/>
    <w:rsid w:val="00F8556F"/>
    <w:rsid w:val="00F85DAD"/>
    <w:rsid w:val="00F905B1"/>
    <w:rsid w:val="00F92EC3"/>
    <w:rsid w:val="00F93048"/>
    <w:rsid w:val="00F94960"/>
    <w:rsid w:val="00F95520"/>
    <w:rsid w:val="00F976D9"/>
    <w:rsid w:val="00F97ABF"/>
    <w:rsid w:val="00FA04CF"/>
    <w:rsid w:val="00FA0AF8"/>
    <w:rsid w:val="00FA0E09"/>
    <w:rsid w:val="00FA36EE"/>
    <w:rsid w:val="00FA3880"/>
    <w:rsid w:val="00FA585D"/>
    <w:rsid w:val="00FA6863"/>
    <w:rsid w:val="00FA79F7"/>
    <w:rsid w:val="00FB2647"/>
    <w:rsid w:val="00FB5DED"/>
    <w:rsid w:val="00FB6BA8"/>
    <w:rsid w:val="00FB722C"/>
    <w:rsid w:val="00FC3919"/>
    <w:rsid w:val="00FC3D52"/>
    <w:rsid w:val="00FC5C95"/>
    <w:rsid w:val="00FC5EC3"/>
    <w:rsid w:val="00FC7CA4"/>
    <w:rsid w:val="00FD0A32"/>
    <w:rsid w:val="00FD1943"/>
    <w:rsid w:val="00FD2140"/>
    <w:rsid w:val="00FD3D96"/>
    <w:rsid w:val="00FD4FDA"/>
    <w:rsid w:val="00FD6A1A"/>
    <w:rsid w:val="00FD788F"/>
    <w:rsid w:val="00FE3434"/>
    <w:rsid w:val="00FE3F74"/>
    <w:rsid w:val="00FE3F9B"/>
    <w:rsid w:val="00FE4A2D"/>
    <w:rsid w:val="00FE517B"/>
    <w:rsid w:val="00FE735D"/>
    <w:rsid w:val="00FF2B42"/>
    <w:rsid w:val="00FF3E62"/>
    <w:rsid w:val="00FF579B"/>
    <w:rsid w:val="00FF5931"/>
    <w:rsid w:val="00FF733C"/>
    <w:rsid w:val="00FF79E2"/>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B42D47"/>
    <w:pPr>
      <w:spacing w:before="160" w:line="260" w:lineRule="exact"/>
    </w:pPr>
    <w:rPr>
      <w:rFonts w:ascii="Trebuchet MS" w:hAnsi="Trebuchet MS"/>
      <w:sz w:val="19"/>
      <w:lang w:val="en-AU"/>
    </w:rPr>
  </w:style>
  <w:style w:type="paragraph" w:styleId="Heading1">
    <w:name w:val="heading 1"/>
    <w:next w:val="Text"/>
    <w:qFormat/>
    <w:rsid w:val="00CF461E"/>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CF461E"/>
    <w:pPr>
      <w:keepNext/>
      <w:spacing w:before="360"/>
      <w:ind w:right="-369"/>
      <w:outlineLvl w:val="1"/>
    </w:pPr>
    <w:rPr>
      <w:rFonts w:ascii="Tahoma" w:hAnsi="Tahoma" w:cs="Tahoma"/>
      <w:sz w:val="28"/>
      <w:lang w:val="en-AU"/>
    </w:rPr>
  </w:style>
  <w:style w:type="paragraph" w:styleId="Heading3">
    <w:name w:val="heading 3"/>
    <w:next w:val="Text"/>
    <w:link w:val="Heading3Char"/>
    <w:qFormat/>
    <w:rsid w:val="00CF461E"/>
    <w:pPr>
      <w:spacing w:before="280" w:line="320" w:lineRule="exact"/>
      <w:outlineLvl w:val="2"/>
    </w:pPr>
    <w:rPr>
      <w:rFonts w:ascii="Tahoma" w:hAnsi="Tahoma" w:cs="Tahoma"/>
      <w:color w:val="000000"/>
      <w:sz w:val="24"/>
      <w:lang w:val="en-AU"/>
    </w:rPr>
  </w:style>
  <w:style w:type="paragraph" w:styleId="Heading4">
    <w:name w:val="heading 4"/>
    <w:next w:val="Text"/>
    <w:qFormat/>
    <w:rsid w:val="00CF461E"/>
    <w:pPr>
      <w:spacing w:before="240"/>
      <w:outlineLvl w:val="3"/>
    </w:pPr>
    <w:rPr>
      <w:rFonts w:ascii="Tahoma" w:hAnsi="Tahoma"/>
      <w:i/>
      <w:sz w:val="24"/>
      <w:lang w:val="en-AU"/>
    </w:rPr>
  </w:style>
  <w:style w:type="paragraph" w:styleId="Heading5">
    <w:name w:val="heading 5"/>
    <w:basedOn w:val="Normal"/>
    <w:next w:val="Normal"/>
    <w:qFormat/>
    <w:rsid w:val="00CF461E"/>
    <w:pPr>
      <w:keepNext/>
      <w:outlineLvl w:val="4"/>
    </w:pPr>
    <w:rPr>
      <w:rFonts w:ascii="Tahoma" w:hAnsi="Tahoma"/>
      <w:b/>
    </w:rPr>
  </w:style>
  <w:style w:type="paragraph" w:styleId="Heading6">
    <w:name w:val="heading 6"/>
    <w:basedOn w:val="Normal"/>
    <w:next w:val="Normal"/>
    <w:qFormat/>
    <w:rsid w:val="00CF461E"/>
    <w:pPr>
      <w:keepNext/>
      <w:ind w:left="2977"/>
      <w:outlineLvl w:val="5"/>
    </w:pPr>
    <w:rPr>
      <w:rFonts w:ascii="Tahoma" w:hAnsi="Tahoma"/>
      <w:sz w:val="20"/>
    </w:rPr>
  </w:style>
  <w:style w:type="paragraph" w:styleId="Heading7">
    <w:name w:val="heading 7"/>
    <w:basedOn w:val="Normal"/>
    <w:next w:val="Normal"/>
    <w:qFormat/>
    <w:rsid w:val="00CF461E"/>
    <w:pPr>
      <w:keepNext/>
      <w:jc w:val="center"/>
      <w:outlineLvl w:val="6"/>
    </w:pPr>
    <w:rPr>
      <w:rFonts w:ascii="Tahoma" w:hAnsi="Tahoma"/>
      <w:spacing w:val="20"/>
      <w:sz w:val="20"/>
    </w:rPr>
  </w:style>
  <w:style w:type="paragraph" w:styleId="Heading8">
    <w:name w:val="heading 8"/>
    <w:basedOn w:val="Normal"/>
    <w:next w:val="Normal"/>
    <w:qFormat/>
    <w:rsid w:val="00CF461E"/>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CF461E"/>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CF461E"/>
    <w:rPr>
      <w:rFonts w:ascii="Tahoma" w:hAnsi="Tahoma"/>
      <w:sz w:val="18"/>
    </w:rPr>
  </w:style>
  <w:style w:type="paragraph" w:styleId="Footer">
    <w:name w:val="footer"/>
    <w:basedOn w:val="Normal"/>
    <w:rsid w:val="00CF461E"/>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CF461E"/>
    <w:pPr>
      <w:spacing w:before="360" w:after="80"/>
      <w:ind w:left="851" w:hanging="851"/>
    </w:pPr>
    <w:rPr>
      <w:rFonts w:ascii="Tahoma" w:hAnsi="Tahoma"/>
      <w:b/>
      <w:sz w:val="17"/>
      <w:lang w:val="en-AU"/>
    </w:rPr>
  </w:style>
  <w:style w:type="paragraph" w:customStyle="1" w:styleId="Tabletext">
    <w:name w:val="Table text"/>
    <w:next w:val="Text"/>
    <w:rsid w:val="00CF461E"/>
    <w:pPr>
      <w:spacing w:before="40" w:after="40"/>
    </w:pPr>
    <w:rPr>
      <w:rFonts w:ascii="Arial" w:hAnsi="Arial"/>
      <w:sz w:val="16"/>
      <w:lang w:val="en-AU"/>
    </w:rPr>
  </w:style>
  <w:style w:type="paragraph" w:customStyle="1" w:styleId="Tablehead1">
    <w:name w:val="Tablehead1"/>
    <w:rsid w:val="00CF461E"/>
    <w:pPr>
      <w:spacing w:before="80" w:after="80"/>
    </w:pPr>
    <w:rPr>
      <w:rFonts w:ascii="Arial" w:hAnsi="Arial"/>
      <w:b/>
      <w:sz w:val="17"/>
      <w:lang w:val="en-AU"/>
    </w:rPr>
  </w:style>
  <w:style w:type="paragraph" w:styleId="Quote">
    <w:name w:val="Quote"/>
    <w:basedOn w:val="Text"/>
    <w:qFormat/>
    <w:rsid w:val="00CF461E"/>
    <w:pPr>
      <w:tabs>
        <w:tab w:val="right" w:pos="7853"/>
      </w:tabs>
      <w:spacing w:before="80"/>
      <w:ind w:left="567" w:right="652"/>
    </w:pPr>
    <w:rPr>
      <w:sz w:val="17"/>
    </w:rPr>
  </w:style>
  <w:style w:type="paragraph" w:customStyle="1" w:styleId="References">
    <w:name w:val="References"/>
    <w:rsid w:val="00CF461E"/>
    <w:pPr>
      <w:spacing w:before="80"/>
      <w:ind w:left="284" w:right="-369" w:hanging="284"/>
    </w:pPr>
    <w:rPr>
      <w:rFonts w:ascii="Trebuchet MS" w:hAnsi="Trebuchet MS"/>
      <w:sz w:val="18"/>
      <w:lang w:val="en-AU"/>
    </w:rPr>
  </w:style>
  <w:style w:type="paragraph" w:customStyle="1" w:styleId="Tablehead2">
    <w:name w:val="Tablehead2"/>
    <w:basedOn w:val="Tablehead1"/>
    <w:rsid w:val="00CF461E"/>
    <w:pPr>
      <w:tabs>
        <w:tab w:val="left" w:pos="992"/>
      </w:tabs>
      <w:spacing w:before="20" w:after="20"/>
    </w:pPr>
    <w:rPr>
      <w:b w:val="0"/>
    </w:rPr>
  </w:style>
  <w:style w:type="paragraph" w:customStyle="1" w:styleId="Tablehead3">
    <w:name w:val="Tablehead3"/>
    <w:basedOn w:val="Tablehead2"/>
    <w:rsid w:val="00CF461E"/>
    <w:rPr>
      <w:i/>
    </w:rPr>
  </w:style>
  <w:style w:type="paragraph" w:styleId="TableofFigures">
    <w:name w:val="table of figures"/>
    <w:basedOn w:val="TOC1"/>
    <w:next w:val="Normal"/>
    <w:uiPriority w:val="99"/>
    <w:rsid w:val="00827B7C"/>
    <w:pPr>
      <w:spacing w:before="80"/>
      <w:ind w:left="425" w:right="1985" w:hanging="425"/>
    </w:pPr>
  </w:style>
  <w:style w:type="paragraph" w:customStyle="1" w:styleId="Imprint">
    <w:name w:val="Imprint"/>
    <w:basedOn w:val="Normal"/>
    <w:rsid w:val="00CF461E"/>
    <w:pPr>
      <w:spacing w:line="260" w:lineRule="atLeast"/>
    </w:pPr>
    <w:rPr>
      <w:sz w:val="16"/>
    </w:rPr>
  </w:style>
  <w:style w:type="paragraph" w:customStyle="1" w:styleId="Figuretitle">
    <w:name w:val="Figuretitle"/>
    <w:basedOn w:val="tabletitle"/>
    <w:rsid w:val="00CF461E"/>
  </w:style>
  <w:style w:type="paragraph" w:customStyle="1" w:styleId="Dotpoint1">
    <w:name w:val="Dotpoint1"/>
    <w:rsid w:val="00282D19"/>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CF461E"/>
    <w:pPr>
      <w:numPr>
        <w:numId w:val="2"/>
      </w:numPr>
      <w:tabs>
        <w:tab w:val="clear" w:pos="284"/>
        <w:tab w:val="left" w:pos="567"/>
      </w:tabs>
    </w:pPr>
  </w:style>
  <w:style w:type="paragraph" w:customStyle="1" w:styleId="NumberedListContinuing">
    <w:name w:val="NumberedListContinuing"/>
    <w:rsid w:val="00CF461E"/>
    <w:pPr>
      <w:numPr>
        <w:numId w:val="3"/>
      </w:numPr>
      <w:spacing w:before="120" w:line="300" w:lineRule="exact"/>
    </w:pPr>
    <w:rPr>
      <w:rFonts w:ascii="Trebuchet MS" w:hAnsi="Trebuchet MS"/>
      <w:sz w:val="19"/>
      <w:lang w:val="en-AU" w:eastAsia="en-AU"/>
    </w:rPr>
  </w:style>
  <w:style w:type="paragraph" w:customStyle="1" w:styleId="Source">
    <w:name w:val="Source"/>
    <w:rsid w:val="00CF461E"/>
    <w:pPr>
      <w:spacing w:before="40"/>
      <w:ind w:left="567" w:hanging="567"/>
    </w:pPr>
    <w:rPr>
      <w:rFonts w:ascii="Arial" w:hAnsi="Arial"/>
      <w:sz w:val="15"/>
      <w:lang w:val="en-AU"/>
    </w:rPr>
  </w:style>
  <w:style w:type="paragraph" w:styleId="FootnoteText">
    <w:name w:val="footnote text"/>
    <w:basedOn w:val="Text"/>
    <w:rsid w:val="00CF461E"/>
    <w:pPr>
      <w:tabs>
        <w:tab w:val="left" w:pos="1418"/>
      </w:tabs>
      <w:spacing w:before="0" w:line="220" w:lineRule="exact"/>
      <w:ind w:left="170" w:hanging="170"/>
    </w:pPr>
    <w:rPr>
      <w:sz w:val="16"/>
    </w:rPr>
  </w:style>
  <w:style w:type="paragraph" w:styleId="NormalWeb">
    <w:name w:val="Normal (Web)"/>
    <w:basedOn w:val="Normal"/>
    <w:uiPriority w:val="1"/>
    <w:semiHidden/>
    <w:rsid w:val="00CF461E"/>
    <w:pPr>
      <w:spacing w:before="100" w:beforeAutospacing="1" w:after="240"/>
    </w:pPr>
    <w:rPr>
      <w:sz w:val="18"/>
      <w:szCs w:val="18"/>
    </w:rPr>
  </w:style>
  <w:style w:type="paragraph" w:customStyle="1" w:styleId="PublicationTitle">
    <w:name w:val="Publication Title"/>
    <w:qFormat/>
    <w:rsid w:val="00CF461E"/>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CF461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CF46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CF461E"/>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CF461E"/>
    <w:rPr>
      <w:rFonts w:ascii="Trebuchet MS" w:hAnsi="Trebuchet MS"/>
      <w:color w:val="auto"/>
      <w:sz w:val="19"/>
      <w:u w:val="none"/>
    </w:rPr>
  </w:style>
  <w:style w:type="paragraph" w:styleId="ListParagraph">
    <w:name w:val="List Paragraph"/>
    <w:basedOn w:val="Normal"/>
    <w:uiPriority w:val="34"/>
    <w:semiHidden/>
    <w:qFormat/>
    <w:rsid w:val="00CF461E"/>
    <w:pPr>
      <w:ind w:left="720"/>
      <w:contextualSpacing/>
    </w:pPr>
  </w:style>
  <w:style w:type="paragraph" w:styleId="BodyText">
    <w:name w:val="Body Text"/>
    <w:basedOn w:val="Normal"/>
    <w:link w:val="BodyTextChar"/>
    <w:rsid w:val="00CF461E"/>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CF461E"/>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F461E"/>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CF461E"/>
    <w:pPr>
      <w:ind w:left="1701" w:right="-1"/>
    </w:pPr>
    <w:rPr>
      <w:rFonts w:ascii="Tahoma" w:hAnsi="Tahoma" w:cs="Tahoma"/>
      <w:sz w:val="28"/>
      <w:lang w:val="en-AU"/>
    </w:rPr>
  </w:style>
  <w:style w:type="paragraph" w:customStyle="1" w:styleId="Contents">
    <w:name w:val="Contents"/>
    <w:qFormat/>
    <w:rsid w:val="00CF461E"/>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CF461E"/>
    <w:pPr>
      <w:spacing w:before="360"/>
    </w:pPr>
    <w:rPr>
      <w:rFonts w:ascii="Tahoma" w:hAnsi="Tahoma" w:cs="Tahoma"/>
      <w:i/>
      <w:sz w:val="28"/>
      <w:lang w:val="en-AU"/>
    </w:rPr>
  </w:style>
  <w:style w:type="paragraph" w:customStyle="1" w:styleId="Abouttheresearch">
    <w:name w:val="About the research"/>
    <w:uiPriority w:val="1"/>
    <w:qFormat/>
    <w:rsid w:val="00CF461E"/>
    <w:rPr>
      <w:rFonts w:ascii="Tahoma" w:hAnsi="Tahoma" w:cs="Tahoma"/>
      <w:color w:val="000000"/>
      <w:kern w:val="28"/>
      <w:sz w:val="56"/>
      <w:szCs w:val="56"/>
      <w:lang w:val="en-AU"/>
    </w:rPr>
  </w:style>
  <w:style w:type="paragraph" w:customStyle="1" w:styleId="Keymessages">
    <w:name w:val="Key messages"/>
    <w:uiPriority w:val="1"/>
    <w:qFormat/>
    <w:rsid w:val="00CF461E"/>
    <w:pPr>
      <w:spacing w:before="360"/>
    </w:pPr>
    <w:rPr>
      <w:rFonts w:ascii="Tahoma" w:hAnsi="Tahoma" w:cs="Tahoma"/>
      <w:sz w:val="28"/>
      <w:lang w:val="en-AU"/>
    </w:rPr>
  </w:style>
  <w:style w:type="paragraph" w:customStyle="1" w:styleId="Organisation">
    <w:name w:val="Organisation"/>
    <w:basedOn w:val="Authors"/>
    <w:uiPriority w:val="1"/>
    <w:qFormat/>
    <w:rsid w:val="00CF461E"/>
    <w:pPr>
      <w:spacing w:before="120"/>
      <w:ind w:right="0"/>
    </w:pPr>
    <w:rPr>
      <w:sz w:val="24"/>
    </w:rPr>
  </w:style>
  <w:style w:type="character" w:styleId="FollowedHyperlink">
    <w:name w:val="FollowedHyperlink"/>
    <w:basedOn w:val="DefaultParagraphFont"/>
    <w:uiPriority w:val="99"/>
    <w:semiHidden/>
    <w:rsid w:val="00CF461E"/>
    <w:rPr>
      <w:color w:val="800080" w:themeColor="followedHyperlink"/>
      <w:u w:val="single"/>
    </w:rPr>
  </w:style>
  <w:style w:type="paragraph" w:customStyle="1" w:styleId="NumberedAlphaLevel2">
    <w:name w:val="NumberedAlphaLevel2"/>
    <w:basedOn w:val="NumberedListContinuing"/>
    <w:uiPriority w:val="1"/>
    <w:qFormat/>
    <w:rsid w:val="00CF461E"/>
    <w:pPr>
      <w:numPr>
        <w:ilvl w:val="1"/>
      </w:numPr>
    </w:pPr>
  </w:style>
  <w:style w:type="paragraph" w:customStyle="1" w:styleId="TableHeads">
    <w:name w:val="Table Heads"/>
    <w:basedOn w:val="Normal"/>
    <w:rsid w:val="00CF461E"/>
    <w:pPr>
      <w:keepNext/>
      <w:keepLines/>
      <w:spacing w:before="80" w:after="80" w:line="240" w:lineRule="auto"/>
      <w:ind w:right="232"/>
      <w:jc w:val="center"/>
    </w:pPr>
    <w:rPr>
      <w:rFonts w:ascii="Arial" w:hAnsi="Arial"/>
      <w:b/>
      <w:sz w:val="18"/>
    </w:rPr>
  </w:style>
  <w:style w:type="paragraph" w:customStyle="1" w:styleId="TableText0">
    <w:name w:val="Table Text"/>
    <w:basedOn w:val="Normal"/>
    <w:rsid w:val="00CF461E"/>
    <w:pPr>
      <w:keepNext/>
      <w:spacing w:before="60" w:after="60" w:line="240" w:lineRule="auto"/>
      <w:ind w:left="34" w:right="125"/>
      <w:jc w:val="both"/>
    </w:pPr>
    <w:rPr>
      <w:rFonts w:ascii="Arial" w:hAnsi="Arial"/>
      <w:sz w:val="16"/>
    </w:rPr>
  </w:style>
  <w:style w:type="character" w:styleId="FootnoteReference">
    <w:name w:val="footnote reference"/>
    <w:basedOn w:val="DefaultParagraphFont"/>
    <w:uiPriority w:val="99"/>
    <w:semiHidden/>
    <w:rsid w:val="00D9005A"/>
    <w:rPr>
      <w:vertAlign w:val="superscript"/>
    </w:rPr>
  </w:style>
  <w:style w:type="character" w:customStyle="1" w:styleId="nlmxref-aff">
    <w:name w:val="nlm_xref-aff"/>
    <w:basedOn w:val="DefaultParagraphFont"/>
    <w:rsid w:val="004B465A"/>
  </w:style>
  <w:style w:type="character" w:styleId="Strong">
    <w:name w:val="Strong"/>
    <w:basedOn w:val="DefaultParagraphFont"/>
    <w:uiPriority w:val="22"/>
    <w:qFormat/>
    <w:rsid w:val="008E6B2D"/>
    <w:rPr>
      <w:b/>
      <w:bCs/>
    </w:rPr>
  </w:style>
  <w:style w:type="character" w:styleId="CommentReference">
    <w:name w:val="annotation reference"/>
    <w:basedOn w:val="DefaultParagraphFont"/>
    <w:uiPriority w:val="99"/>
    <w:semiHidden/>
    <w:rsid w:val="00942D94"/>
    <w:rPr>
      <w:sz w:val="16"/>
      <w:szCs w:val="16"/>
    </w:rPr>
  </w:style>
  <w:style w:type="paragraph" w:styleId="CommentText">
    <w:name w:val="annotation text"/>
    <w:basedOn w:val="Normal"/>
    <w:link w:val="CommentTextChar"/>
    <w:uiPriority w:val="99"/>
    <w:semiHidden/>
    <w:rsid w:val="00942D94"/>
    <w:pPr>
      <w:spacing w:line="240" w:lineRule="auto"/>
    </w:pPr>
    <w:rPr>
      <w:sz w:val="20"/>
    </w:rPr>
  </w:style>
  <w:style w:type="character" w:customStyle="1" w:styleId="CommentTextChar">
    <w:name w:val="Comment Text Char"/>
    <w:basedOn w:val="DefaultParagraphFont"/>
    <w:link w:val="CommentText"/>
    <w:uiPriority w:val="99"/>
    <w:semiHidden/>
    <w:rsid w:val="00942D94"/>
    <w:rPr>
      <w:rFonts w:ascii="Trebuchet MS" w:hAnsi="Trebuchet MS"/>
      <w:lang w:val="en-AU"/>
    </w:rPr>
  </w:style>
  <w:style w:type="paragraph" w:styleId="CommentSubject">
    <w:name w:val="annotation subject"/>
    <w:basedOn w:val="CommentText"/>
    <w:next w:val="CommentText"/>
    <w:link w:val="CommentSubjectChar"/>
    <w:uiPriority w:val="99"/>
    <w:semiHidden/>
    <w:rsid w:val="00942D94"/>
    <w:rPr>
      <w:b/>
      <w:bCs/>
    </w:rPr>
  </w:style>
  <w:style w:type="character" w:customStyle="1" w:styleId="CommentSubjectChar">
    <w:name w:val="Comment Subject Char"/>
    <w:basedOn w:val="CommentTextChar"/>
    <w:link w:val="CommentSubject"/>
    <w:uiPriority w:val="99"/>
    <w:semiHidden/>
    <w:rsid w:val="00942D94"/>
    <w:rPr>
      <w:rFonts w:ascii="Trebuchet MS" w:hAnsi="Trebuchet MS"/>
      <w:b/>
      <w:bCs/>
      <w:lang w:val="en-AU"/>
    </w:rPr>
  </w:style>
  <w:style w:type="paragraph" w:styleId="Index4">
    <w:name w:val="index 4"/>
    <w:basedOn w:val="Normal"/>
    <w:next w:val="Normal"/>
    <w:autoRedefine/>
    <w:uiPriority w:val="99"/>
    <w:semiHidden/>
    <w:rsid w:val="00022119"/>
    <w:pPr>
      <w:spacing w:before="0" w:line="240" w:lineRule="auto"/>
      <w:ind w:left="760" w:hanging="190"/>
    </w:pPr>
  </w:style>
  <w:style w:type="paragraph" w:customStyle="1" w:styleId="Textmorebefore">
    <w:name w:val="Text more # before"/>
    <w:basedOn w:val="Text"/>
    <w:uiPriority w:val="1"/>
    <w:qFormat/>
    <w:rsid w:val="00282D19"/>
    <w:pPr>
      <w:spacing w:before="360"/>
      <w:ind w:right="0"/>
    </w:pPr>
  </w:style>
  <w:style w:type="paragraph" w:customStyle="1" w:styleId="Textlessbefore">
    <w:name w:val="Text less # before"/>
    <w:basedOn w:val="Text"/>
    <w:uiPriority w:val="1"/>
    <w:qFormat/>
    <w:rsid w:val="00D31CB4"/>
    <w:pPr>
      <w:keepNext/>
      <w:spacing w:before="8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iPriority="1"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AD0E52"/>
    <w:pPr>
      <w:spacing w:before="160" w:line="260" w:lineRule="exact"/>
    </w:pPr>
    <w:rPr>
      <w:rFonts w:ascii="Trebuchet MS" w:hAnsi="Trebuchet MS"/>
      <w:sz w:val="19"/>
      <w:lang w:val="en-AU"/>
    </w:rPr>
  </w:style>
  <w:style w:type="paragraph" w:styleId="Heading1">
    <w:name w:val="heading 1"/>
    <w:next w:val="Text"/>
    <w:qFormat/>
    <w:rsid w:val="00CF461E"/>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CF461E"/>
    <w:pPr>
      <w:keepNext/>
      <w:spacing w:before="360"/>
      <w:ind w:right="-369"/>
      <w:outlineLvl w:val="1"/>
    </w:pPr>
    <w:rPr>
      <w:rFonts w:ascii="Tahoma" w:hAnsi="Tahoma" w:cs="Tahoma"/>
      <w:sz w:val="28"/>
      <w:lang w:val="en-AU"/>
    </w:rPr>
  </w:style>
  <w:style w:type="paragraph" w:styleId="Heading3">
    <w:name w:val="heading 3"/>
    <w:next w:val="Text"/>
    <w:link w:val="Heading3Char"/>
    <w:qFormat/>
    <w:rsid w:val="00CF461E"/>
    <w:pPr>
      <w:spacing w:before="280" w:line="320" w:lineRule="exact"/>
      <w:outlineLvl w:val="2"/>
    </w:pPr>
    <w:rPr>
      <w:rFonts w:ascii="Tahoma" w:hAnsi="Tahoma" w:cs="Tahoma"/>
      <w:color w:val="000000"/>
      <w:sz w:val="24"/>
      <w:lang w:val="en-AU"/>
    </w:rPr>
  </w:style>
  <w:style w:type="paragraph" w:styleId="Heading4">
    <w:name w:val="heading 4"/>
    <w:next w:val="Text"/>
    <w:qFormat/>
    <w:rsid w:val="00CF461E"/>
    <w:pPr>
      <w:spacing w:before="240"/>
      <w:outlineLvl w:val="3"/>
    </w:pPr>
    <w:rPr>
      <w:rFonts w:ascii="Tahoma" w:hAnsi="Tahoma"/>
      <w:i/>
      <w:sz w:val="24"/>
      <w:lang w:val="en-AU"/>
    </w:rPr>
  </w:style>
  <w:style w:type="paragraph" w:styleId="Heading5">
    <w:name w:val="heading 5"/>
    <w:basedOn w:val="Normal"/>
    <w:next w:val="Normal"/>
    <w:qFormat/>
    <w:rsid w:val="00CF461E"/>
    <w:pPr>
      <w:keepNext/>
      <w:outlineLvl w:val="4"/>
    </w:pPr>
    <w:rPr>
      <w:rFonts w:ascii="Tahoma" w:hAnsi="Tahoma"/>
      <w:b/>
    </w:rPr>
  </w:style>
  <w:style w:type="paragraph" w:styleId="Heading6">
    <w:name w:val="heading 6"/>
    <w:basedOn w:val="Normal"/>
    <w:next w:val="Normal"/>
    <w:qFormat/>
    <w:rsid w:val="00CF461E"/>
    <w:pPr>
      <w:keepNext/>
      <w:ind w:left="2977"/>
      <w:outlineLvl w:val="5"/>
    </w:pPr>
    <w:rPr>
      <w:rFonts w:ascii="Tahoma" w:hAnsi="Tahoma"/>
      <w:sz w:val="20"/>
    </w:rPr>
  </w:style>
  <w:style w:type="paragraph" w:styleId="Heading7">
    <w:name w:val="heading 7"/>
    <w:basedOn w:val="Normal"/>
    <w:next w:val="Normal"/>
    <w:qFormat/>
    <w:rsid w:val="00CF461E"/>
    <w:pPr>
      <w:keepNext/>
      <w:jc w:val="center"/>
      <w:outlineLvl w:val="6"/>
    </w:pPr>
    <w:rPr>
      <w:rFonts w:ascii="Tahoma" w:hAnsi="Tahoma"/>
      <w:spacing w:val="20"/>
      <w:sz w:val="20"/>
    </w:rPr>
  </w:style>
  <w:style w:type="paragraph" w:styleId="Heading8">
    <w:name w:val="heading 8"/>
    <w:basedOn w:val="Normal"/>
    <w:next w:val="Normal"/>
    <w:qFormat/>
    <w:rsid w:val="00CF461E"/>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CF461E"/>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CF461E"/>
    <w:rPr>
      <w:rFonts w:ascii="Tahoma" w:hAnsi="Tahoma"/>
      <w:sz w:val="18"/>
    </w:rPr>
  </w:style>
  <w:style w:type="paragraph" w:styleId="Footer">
    <w:name w:val="footer"/>
    <w:basedOn w:val="Normal"/>
    <w:rsid w:val="00CF461E"/>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CF461E"/>
    <w:pPr>
      <w:spacing w:before="360" w:after="80"/>
      <w:ind w:left="851" w:hanging="851"/>
    </w:pPr>
    <w:rPr>
      <w:rFonts w:ascii="Tahoma" w:hAnsi="Tahoma"/>
      <w:b/>
      <w:sz w:val="17"/>
      <w:lang w:val="en-AU"/>
    </w:rPr>
  </w:style>
  <w:style w:type="paragraph" w:customStyle="1" w:styleId="Tabletext">
    <w:name w:val="Table text"/>
    <w:next w:val="Text"/>
    <w:rsid w:val="00CF461E"/>
    <w:pPr>
      <w:spacing w:before="40" w:after="40"/>
    </w:pPr>
    <w:rPr>
      <w:rFonts w:ascii="Arial" w:hAnsi="Arial"/>
      <w:sz w:val="16"/>
      <w:lang w:val="en-AU"/>
    </w:rPr>
  </w:style>
  <w:style w:type="paragraph" w:customStyle="1" w:styleId="Tablehead1">
    <w:name w:val="Tablehead1"/>
    <w:rsid w:val="00CF461E"/>
    <w:pPr>
      <w:spacing w:before="80" w:after="80"/>
    </w:pPr>
    <w:rPr>
      <w:rFonts w:ascii="Arial" w:hAnsi="Arial"/>
      <w:b/>
      <w:sz w:val="17"/>
      <w:lang w:val="en-AU"/>
    </w:rPr>
  </w:style>
  <w:style w:type="paragraph" w:styleId="Quote">
    <w:name w:val="Quote"/>
    <w:basedOn w:val="Text"/>
    <w:qFormat/>
    <w:rsid w:val="00CF461E"/>
    <w:pPr>
      <w:tabs>
        <w:tab w:val="right" w:pos="7853"/>
      </w:tabs>
      <w:spacing w:before="80"/>
      <w:ind w:left="567" w:right="652"/>
    </w:pPr>
    <w:rPr>
      <w:sz w:val="17"/>
    </w:rPr>
  </w:style>
  <w:style w:type="paragraph" w:customStyle="1" w:styleId="References">
    <w:name w:val="References"/>
    <w:rsid w:val="00CF461E"/>
    <w:pPr>
      <w:spacing w:before="80"/>
      <w:ind w:left="284" w:right="-369" w:hanging="284"/>
    </w:pPr>
    <w:rPr>
      <w:rFonts w:ascii="Trebuchet MS" w:hAnsi="Trebuchet MS"/>
      <w:sz w:val="18"/>
      <w:lang w:val="en-AU"/>
    </w:rPr>
  </w:style>
  <w:style w:type="paragraph" w:customStyle="1" w:styleId="Tablehead2">
    <w:name w:val="Tablehead2"/>
    <w:basedOn w:val="Tablehead1"/>
    <w:rsid w:val="00CF461E"/>
    <w:pPr>
      <w:tabs>
        <w:tab w:val="left" w:pos="992"/>
      </w:tabs>
      <w:spacing w:before="20" w:after="20"/>
    </w:pPr>
    <w:rPr>
      <w:b w:val="0"/>
    </w:rPr>
  </w:style>
  <w:style w:type="paragraph" w:customStyle="1" w:styleId="Tablehead3">
    <w:name w:val="Tablehead3"/>
    <w:basedOn w:val="Tablehead2"/>
    <w:rsid w:val="00CF461E"/>
    <w:rPr>
      <w:i/>
    </w:rPr>
  </w:style>
  <w:style w:type="paragraph" w:styleId="TableofFigures">
    <w:name w:val="table of figures"/>
    <w:basedOn w:val="TOC1"/>
    <w:next w:val="Normal"/>
    <w:uiPriority w:val="99"/>
    <w:rsid w:val="00CF461E"/>
    <w:pPr>
      <w:tabs>
        <w:tab w:val="left" w:pos="284"/>
      </w:tabs>
      <w:spacing w:before="80"/>
      <w:ind w:left="425" w:right="1985" w:hanging="425"/>
    </w:pPr>
  </w:style>
  <w:style w:type="paragraph" w:customStyle="1" w:styleId="Imprint">
    <w:name w:val="Imprint"/>
    <w:basedOn w:val="Normal"/>
    <w:rsid w:val="00CF461E"/>
    <w:pPr>
      <w:spacing w:line="260" w:lineRule="atLeast"/>
    </w:pPr>
    <w:rPr>
      <w:sz w:val="16"/>
    </w:rPr>
  </w:style>
  <w:style w:type="paragraph" w:customStyle="1" w:styleId="Figuretitle">
    <w:name w:val="Figuretitle"/>
    <w:basedOn w:val="tabletitle"/>
    <w:rsid w:val="00CF461E"/>
  </w:style>
  <w:style w:type="paragraph" w:customStyle="1" w:styleId="Dotpoint1">
    <w:name w:val="Dotpoint1"/>
    <w:rsid w:val="00CF461E"/>
    <w:pPr>
      <w:numPr>
        <w:numId w:val="1"/>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CF461E"/>
    <w:pPr>
      <w:numPr>
        <w:numId w:val="2"/>
      </w:numPr>
      <w:tabs>
        <w:tab w:val="clear" w:pos="284"/>
        <w:tab w:val="left" w:pos="567"/>
      </w:tabs>
    </w:pPr>
  </w:style>
  <w:style w:type="paragraph" w:customStyle="1" w:styleId="NumberedListContinuing">
    <w:name w:val="NumberedListContinuing"/>
    <w:rsid w:val="00CF461E"/>
    <w:pPr>
      <w:numPr>
        <w:numId w:val="3"/>
      </w:numPr>
      <w:spacing w:before="120" w:line="300" w:lineRule="exact"/>
    </w:pPr>
    <w:rPr>
      <w:rFonts w:ascii="Trebuchet MS" w:hAnsi="Trebuchet MS"/>
      <w:sz w:val="19"/>
      <w:lang w:val="en-AU" w:eastAsia="en-AU"/>
    </w:rPr>
  </w:style>
  <w:style w:type="paragraph" w:customStyle="1" w:styleId="Source">
    <w:name w:val="Source"/>
    <w:rsid w:val="00CF461E"/>
    <w:pPr>
      <w:spacing w:before="40"/>
      <w:ind w:left="567" w:hanging="567"/>
    </w:pPr>
    <w:rPr>
      <w:rFonts w:ascii="Arial" w:hAnsi="Arial"/>
      <w:sz w:val="15"/>
      <w:lang w:val="en-AU"/>
    </w:rPr>
  </w:style>
  <w:style w:type="paragraph" w:styleId="FootnoteText">
    <w:name w:val="footnote text"/>
    <w:basedOn w:val="Text"/>
    <w:rsid w:val="00CF461E"/>
    <w:pPr>
      <w:tabs>
        <w:tab w:val="left" w:pos="1418"/>
      </w:tabs>
      <w:spacing w:before="0" w:line="220" w:lineRule="exact"/>
      <w:ind w:left="170" w:hanging="170"/>
    </w:pPr>
    <w:rPr>
      <w:sz w:val="16"/>
    </w:rPr>
  </w:style>
  <w:style w:type="paragraph" w:styleId="NormalWeb">
    <w:name w:val="Normal (Web)"/>
    <w:basedOn w:val="Normal"/>
    <w:uiPriority w:val="1"/>
    <w:semiHidden/>
    <w:rsid w:val="00CF461E"/>
    <w:pPr>
      <w:spacing w:before="100" w:beforeAutospacing="1" w:after="240"/>
    </w:pPr>
    <w:rPr>
      <w:sz w:val="18"/>
      <w:szCs w:val="18"/>
    </w:rPr>
  </w:style>
  <w:style w:type="paragraph" w:customStyle="1" w:styleId="PublicationTitle">
    <w:name w:val="Publication Title"/>
    <w:qFormat/>
    <w:rsid w:val="00CF461E"/>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CF461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CF46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CF461E"/>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CF461E"/>
    <w:rPr>
      <w:rFonts w:ascii="Trebuchet MS" w:hAnsi="Trebuchet MS"/>
      <w:color w:val="auto"/>
      <w:sz w:val="19"/>
      <w:u w:val="none"/>
    </w:rPr>
  </w:style>
  <w:style w:type="paragraph" w:styleId="ListParagraph">
    <w:name w:val="List Paragraph"/>
    <w:basedOn w:val="Normal"/>
    <w:uiPriority w:val="34"/>
    <w:semiHidden/>
    <w:qFormat/>
    <w:rsid w:val="00CF461E"/>
    <w:pPr>
      <w:ind w:left="720"/>
      <w:contextualSpacing/>
    </w:pPr>
  </w:style>
  <w:style w:type="paragraph" w:styleId="BodyText">
    <w:name w:val="Body Text"/>
    <w:basedOn w:val="Normal"/>
    <w:link w:val="BodyTextChar"/>
    <w:rsid w:val="00CF461E"/>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CF461E"/>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F461E"/>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CF461E"/>
    <w:pPr>
      <w:ind w:left="1701" w:right="-1"/>
    </w:pPr>
    <w:rPr>
      <w:rFonts w:ascii="Tahoma" w:hAnsi="Tahoma" w:cs="Tahoma"/>
      <w:sz w:val="28"/>
      <w:lang w:val="en-AU"/>
    </w:rPr>
  </w:style>
  <w:style w:type="paragraph" w:customStyle="1" w:styleId="Contents">
    <w:name w:val="Contents"/>
    <w:qFormat/>
    <w:rsid w:val="00CF461E"/>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CF461E"/>
    <w:pPr>
      <w:spacing w:before="360"/>
    </w:pPr>
    <w:rPr>
      <w:rFonts w:ascii="Tahoma" w:hAnsi="Tahoma" w:cs="Tahoma"/>
      <w:i/>
      <w:sz w:val="28"/>
      <w:lang w:val="en-AU"/>
    </w:rPr>
  </w:style>
  <w:style w:type="paragraph" w:customStyle="1" w:styleId="Abouttheresearch">
    <w:name w:val="About the research"/>
    <w:uiPriority w:val="1"/>
    <w:qFormat/>
    <w:rsid w:val="00CF461E"/>
    <w:rPr>
      <w:rFonts w:ascii="Tahoma" w:hAnsi="Tahoma" w:cs="Tahoma"/>
      <w:color w:val="000000"/>
      <w:kern w:val="28"/>
      <w:sz w:val="56"/>
      <w:szCs w:val="56"/>
      <w:lang w:val="en-AU"/>
    </w:rPr>
  </w:style>
  <w:style w:type="paragraph" w:customStyle="1" w:styleId="Keymessages">
    <w:name w:val="Key messages"/>
    <w:uiPriority w:val="1"/>
    <w:qFormat/>
    <w:rsid w:val="00CF461E"/>
    <w:pPr>
      <w:spacing w:before="360"/>
    </w:pPr>
    <w:rPr>
      <w:rFonts w:ascii="Tahoma" w:hAnsi="Tahoma" w:cs="Tahoma"/>
      <w:sz w:val="28"/>
      <w:lang w:val="en-AU"/>
    </w:rPr>
  </w:style>
  <w:style w:type="paragraph" w:customStyle="1" w:styleId="Organisation">
    <w:name w:val="Organisation"/>
    <w:basedOn w:val="Authors"/>
    <w:uiPriority w:val="1"/>
    <w:qFormat/>
    <w:rsid w:val="00CF461E"/>
    <w:pPr>
      <w:spacing w:before="120"/>
      <w:ind w:right="0"/>
    </w:pPr>
    <w:rPr>
      <w:sz w:val="24"/>
    </w:rPr>
  </w:style>
  <w:style w:type="character" w:styleId="FollowedHyperlink">
    <w:name w:val="FollowedHyperlink"/>
    <w:basedOn w:val="DefaultParagraphFont"/>
    <w:uiPriority w:val="99"/>
    <w:semiHidden/>
    <w:rsid w:val="00CF461E"/>
    <w:rPr>
      <w:color w:val="800080" w:themeColor="followedHyperlink"/>
      <w:u w:val="single"/>
    </w:rPr>
  </w:style>
  <w:style w:type="paragraph" w:customStyle="1" w:styleId="NumberedAlphaLevel2">
    <w:name w:val="NumberedAlphaLevel2"/>
    <w:basedOn w:val="NumberedListContinuing"/>
    <w:uiPriority w:val="1"/>
    <w:qFormat/>
    <w:rsid w:val="00CF461E"/>
    <w:pPr>
      <w:numPr>
        <w:ilvl w:val="1"/>
      </w:numPr>
    </w:pPr>
  </w:style>
  <w:style w:type="paragraph" w:customStyle="1" w:styleId="TableHeads">
    <w:name w:val="Table Heads"/>
    <w:basedOn w:val="Normal"/>
    <w:rsid w:val="00CF461E"/>
    <w:pPr>
      <w:keepNext/>
      <w:keepLines/>
      <w:spacing w:before="80" w:after="80" w:line="240" w:lineRule="auto"/>
      <w:ind w:right="232"/>
      <w:jc w:val="center"/>
    </w:pPr>
    <w:rPr>
      <w:rFonts w:ascii="Arial" w:hAnsi="Arial"/>
      <w:b/>
      <w:sz w:val="18"/>
    </w:rPr>
  </w:style>
  <w:style w:type="paragraph" w:customStyle="1" w:styleId="TableText0">
    <w:name w:val="Table Text"/>
    <w:basedOn w:val="Normal"/>
    <w:rsid w:val="00CF461E"/>
    <w:pPr>
      <w:keepNext/>
      <w:spacing w:before="60" w:after="60" w:line="240" w:lineRule="auto"/>
      <w:ind w:left="34" w:right="125"/>
      <w:jc w:val="both"/>
    </w:pPr>
    <w:rPr>
      <w:rFonts w:ascii="Arial" w:hAnsi="Arial"/>
      <w:sz w:val="16"/>
    </w:rPr>
  </w:style>
  <w:style w:type="character" w:styleId="FootnoteReference">
    <w:name w:val="footnote reference"/>
    <w:basedOn w:val="DefaultParagraphFont"/>
    <w:uiPriority w:val="99"/>
    <w:semiHidden/>
    <w:rsid w:val="00D9005A"/>
    <w:rPr>
      <w:vertAlign w:val="superscript"/>
    </w:rPr>
  </w:style>
  <w:style w:type="character" w:customStyle="1" w:styleId="nlmxref-aff">
    <w:name w:val="nlm_xref-aff"/>
    <w:basedOn w:val="DefaultParagraphFont"/>
    <w:rsid w:val="004B465A"/>
  </w:style>
  <w:style w:type="character" w:styleId="Strong">
    <w:name w:val="Strong"/>
    <w:basedOn w:val="DefaultParagraphFont"/>
    <w:uiPriority w:val="22"/>
    <w:qFormat/>
    <w:rsid w:val="008E6B2D"/>
    <w:rPr>
      <w:b/>
      <w:bCs/>
    </w:rPr>
  </w:style>
  <w:style w:type="character" w:styleId="CommentReference">
    <w:name w:val="annotation reference"/>
    <w:basedOn w:val="DefaultParagraphFont"/>
    <w:uiPriority w:val="99"/>
    <w:semiHidden/>
    <w:rsid w:val="00942D94"/>
    <w:rPr>
      <w:sz w:val="16"/>
      <w:szCs w:val="16"/>
    </w:rPr>
  </w:style>
  <w:style w:type="paragraph" w:styleId="CommentText">
    <w:name w:val="annotation text"/>
    <w:basedOn w:val="Normal"/>
    <w:link w:val="CommentTextChar"/>
    <w:uiPriority w:val="99"/>
    <w:semiHidden/>
    <w:rsid w:val="00942D94"/>
    <w:pPr>
      <w:spacing w:line="240" w:lineRule="auto"/>
    </w:pPr>
    <w:rPr>
      <w:sz w:val="20"/>
    </w:rPr>
  </w:style>
  <w:style w:type="character" w:customStyle="1" w:styleId="CommentTextChar">
    <w:name w:val="Comment Text Char"/>
    <w:basedOn w:val="DefaultParagraphFont"/>
    <w:link w:val="CommentText"/>
    <w:uiPriority w:val="99"/>
    <w:semiHidden/>
    <w:rsid w:val="00942D94"/>
    <w:rPr>
      <w:rFonts w:ascii="Trebuchet MS" w:hAnsi="Trebuchet MS"/>
      <w:lang w:val="en-AU"/>
    </w:rPr>
  </w:style>
  <w:style w:type="paragraph" w:styleId="CommentSubject">
    <w:name w:val="annotation subject"/>
    <w:basedOn w:val="CommentText"/>
    <w:next w:val="CommentText"/>
    <w:link w:val="CommentSubjectChar"/>
    <w:uiPriority w:val="99"/>
    <w:semiHidden/>
    <w:rsid w:val="00942D94"/>
    <w:rPr>
      <w:b/>
      <w:bCs/>
    </w:rPr>
  </w:style>
  <w:style w:type="character" w:customStyle="1" w:styleId="CommentSubjectChar">
    <w:name w:val="Comment Subject Char"/>
    <w:basedOn w:val="CommentTextChar"/>
    <w:link w:val="CommentSubject"/>
    <w:uiPriority w:val="99"/>
    <w:semiHidden/>
    <w:rsid w:val="00942D94"/>
    <w:rPr>
      <w:rFonts w:ascii="Trebuchet MS" w:hAnsi="Trebuchet MS"/>
      <w:b/>
      <w:bCs/>
      <w:lang w:val="en-AU"/>
    </w:rPr>
  </w:style>
  <w:style w:type="paragraph" w:styleId="Index4">
    <w:name w:val="index 4"/>
    <w:basedOn w:val="Normal"/>
    <w:next w:val="Normal"/>
    <w:autoRedefine/>
    <w:uiPriority w:val="99"/>
    <w:semiHidden/>
    <w:rsid w:val="00022119"/>
    <w:pPr>
      <w:spacing w:before="0" w:line="240" w:lineRule="auto"/>
      <w:ind w:left="760" w:hanging="190"/>
    </w:pPr>
  </w:style>
</w:styles>
</file>

<file path=word/webSettings.xml><?xml version="1.0" encoding="utf-8"?>
<w:webSettings xmlns:r="http://schemas.openxmlformats.org/officeDocument/2006/relationships" xmlns:w="http://schemas.openxmlformats.org/wordprocessingml/2006/main">
  <w:divs>
    <w:div w:id="26639245">
      <w:bodyDiv w:val="1"/>
      <w:marLeft w:val="0"/>
      <w:marRight w:val="0"/>
      <w:marTop w:val="0"/>
      <w:marBottom w:val="0"/>
      <w:divBdr>
        <w:top w:val="none" w:sz="0" w:space="0" w:color="auto"/>
        <w:left w:val="none" w:sz="0" w:space="0" w:color="auto"/>
        <w:bottom w:val="none" w:sz="0" w:space="0" w:color="auto"/>
        <w:right w:val="none" w:sz="0" w:space="0" w:color="auto"/>
      </w:divBdr>
      <w:divsChild>
        <w:div w:id="1256087755">
          <w:marLeft w:val="0"/>
          <w:marRight w:val="0"/>
          <w:marTop w:val="0"/>
          <w:marBottom w:val="0"/>
          <w:divBdr>
            <w:top w:val="none" w:sz="0" w:space="0" w:color="auto"/>
            <w:left w:val="none" w:sz="0" w:space="0" w:color="auto"/>
            <w:bottom w:val="none" w:sz="0" w:space="0" w:color="auto"/>
            <w:right w:val="none" w:sz="0" w:space="0" w:color="auto"/>
          </w:divBdr>
          <w:divsChild>
            <w:div w:id="195700110">
              <w:marLeft w:val="0"/>
              <w:marRight w:val="0"/>
              <w:marTop w:val="0"/>
              <w:marBottom w:val="0"/>
              <w:divBdr>
                <w:top w:val="none" w:sz="0" w:space="0" w:color="auto"/>
                <w:left w:val="none" w:sz="0" w:space="0" w:color="auto"/>
                <w:bottom w:val="none" w:sz="0" w:space="0" w:color="auto"/>
                <w:right w:val="none" w:sz="0" w:space="0" w:color="auto"/>
              </w:divBdr>
              <w:divsChild>
                <w:div w:id="384331290">
                  <w:marLeft w:val="0"/>
                  <w:marRight w:val="0"/>
                  <w:marTop w:val="0"/>
                  <w:marBottom w:val="0"/>
                  <w:divBdr>
                    <w:top w:val="none" w:sz="0" w:space="0" w:color="auto"/>
                    <w:left w:val="none" w:sz="0" w:space="0" w:color="auto"/>
                    <w:bottom w:val="none" w:sz="0" w:space="0" w:color="auto"/>
                    <w:right w:val="none" w:sz="0" w:space="0" w:color="auto"/>
                  </w:divBdr>
                  <w:divsChild>
                    <w:div w:id="758332397">
                      <w:marLeft w:val="0"/>
                      <w:marRight w:val="0"/>
                      <w:marTop w:val="0"/>
                      <w:marBottom w:val="0"/>
                      <w:divBdr>
                        <w:top w:val="none" w:sz="0" w:space="0" w:color="auto"/>
                        <w:left w:val="none" w:sz="0" w:space="0" w:color="auto"/>
                        <w:bottom w:val="none" w:sz="0" w:space="0" w:color="auto"/>
                        <w:right w:val="none" w:sz="0" w:space="0" w:color="auto"/>
                      </w:divBdr>
                      <w:divsChild>
                        <w:div w:id="1075083260">
                          <w:marLeft w:val="0"/>
                          <w:marRight w:val="0"/>
                          <w:marTop w:val="0"/>
                          <w:marBottom w:val="0"/>
                          <w:divBdr>
                            <w:top w:val="none" w:sz="0" w:space="0" w:color="auto"/>
                            <w:left w:val="none" w:sz="0" w:space="0" w:color="auto"/>
                            <w:bottom w:val="none" w:sz="0" w:space="0" w:color="auto"/>
                            <w:right w:val="none" w:sz="0" w:space="0" w:color="auto"/>
                          </w:divBdr>
                          <w:divsChild>
                            <w:div w:id="543299957">
                              <w:marLeft w:val="0"/>
                              <w:marRight w:val="0"/>
                              <w:marTop w:val="0"/>
                              <w:marBottom w:val="0"/>
                              <w:divBdr>
                                <w:top w:val="none" w:sz="0" w:space="0" w:color="auto"/>
                                <w:left w:val="none" w:sz="0" w:space="0" w:color="auto"/>
                                <w:bottom w:val="none" w:sz="0" w:space="0" w:color="auto"/>
                                <w:right w:val="none" w:sz="0" w:space="0" w:color="auto"/>
                              </w:divBdr>
                              <w:divsChild>
                                <w:div w:id="990334322">
                                  <w:marLeft w:val="0"/>
                                  <w:marRight w:val="0"/>
                                  <w:marTop w:val="0"/>
                                  <w:marBottom w:val="0"/>
                                  <w:divBdr>
                                    <w:top w:val="none" w:sz="0" w:space="0" w:color="auto"/>
                                    <w:left w:val="none" w:sz="0" w:space="0" w:color="auto"/>
                                    <w:bottom w:val="none" w:sz="0" w:space="0" w:color="auto"/>
                                    <w:right w:val="none" w:sz="0" w:space="0" w:color="auto"/>
                                  </w:divBdr>
                                  <w:divsChild>
                                    <w:div w:id="1657951279">
                                      <w:marLeft w:val="0"/>
                                      <w:marRight w:val="0"/>
                                      <w:marTop w:val="0"/>
                                      <w:marBottom w:val="0"/>
                                      <w:divBdr>
                                        <w:top w:val="none" w:sz="0" w:space="0" w:color="auto"/>
                                        <w:left w:val="none" w:sz="0" w:space="0" w:color="auto"/>
                                        <w:bottom w:val="none" w:sz="0" w:space="0" w:color="auto"/>
                                        <w:right w:val="none" w:sz="0" w:space="0" w:color="auto"/>
                                      </w:divBdr>
                                      <w:divsChild>
                                        <w:div w:id="303315951">
                                          <w:marLeft w:val="0"/>
                                          <w:marRight w:val="0"/>
                                          <w:marTop w:val="0"/>
                                          <w:marBottom w:val="0"/>
                                          <w:divBdr>
                                            <w:top w:val="none" w:sz="0" w:space="0" w:color="auto"/>
                                            <w:left w:val="none" w:sz="0" w:space="0" w:color="auto"/>
                                            <w:bottom w:val="none" w:sz="0" w:space="0" w:color="auto"/>
                                            <w:right w:val="none" w:sz="0" w:space="0" w:color="auto"/>
                                          </w:divBdr>
                                          <w:divsChild>
                                            <w:div w:id="20751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71612">
      <w:bodyDiv w:val="1"/>
      <w:marLeft w:val="0"/>
      <w:marRight w:val="0"/>
      <w:marTop w:val="0"/>
      <w:marBottom w:val="0"/>
      <w:divBdr>
        <w:top w:val="none" w:sz="0" w:space="0" w:color="auto"/>
        <w:left w:val="none" w:sz="0" w:space="0" w:color="auto"/>
        <w:bottom w:val="none" w:sz="0" w:space="0" w:color="auto"/>
        <w:right w:val="none" w:sz="0" w:space="0" w:color="auto"/>
      </w:divBdr>
      <w:divsChild>
        <w:div w:id="949583497">
          <w:marLeft w:val="0"/>
          <w:marRight w:val="0"/>
          <w:marTop w:val="0"/>
          <w:marBottom w:val="0"/>
          <w:divBdr>
            <w:top w:val="none" w:sz="0" w:space="0" w:color="auto"/>
            <w:left w:val="none" w:sz="0" w:space="0" w:color="auto"/>
            <w:bottom w:val="none" w:sz="0" w:space="0" w:color="auto"/>
            <w:right w:val="none" w:sz="0" w:space="0" w:color="auto"/>
          </w:divBdr>
        </w:div>
      </w:divsChild>
    </w:div>
    <w:div w:id="113522107">
      <w:bodyDiv w:val="1"/>
      <w:marLeft w:val="0"/>
      <w:marRight w:val="0"/>
      <w:marTop w:val="0"/>
      <w:marBottom w:val="0"/>
      <w:divBdr>
        <w:top w:val="none" w:sz="0" w:space="0" w:color="auto"/>
        <w:left w:val="none" w:sz="0" w:space="0" w:color="auto"/>
        <w:bottom w:val="none" w:sz="0" w:space="0" w:color="auto"/>
        <w:right w:val="none" w:sz="0" w:space="0" w:color="auto"/>
      </w:divBdr>
      <w:divsChild>
        <w:div w:id="1173691237">
          <w:marLeft w:val="0"/>
          <w:marRight w:val="0"/>
          <w:marTop w:val="0"/>
          <w:marBottom w:val="0"/>
          <w:divBdr>
            <w:top w:val="none" w:sz="0" w:space="0" w:color="auto"/>
            <w:left w:val="none" w:sz="0" w:space="0" w:color="auto"/>
            <w:bottom w:val="none" w:sz="0" w:space="0" w:color="auto"/>
            <w:right w:val="none" w:sz="0" w:space="0" w:color="auto"/>
          </w:divBdr>
          <w:divsChild>
            <w:div w:id="1542353196">
              <w:marLeft w:val="0"/>
              <w:marRight w:val="0"/>
              <w:marTop w:val="0"/>
              <w:marBottom w:val="0"/>
              <w:divBdr>
                <w:top w:val="none" w:sz="0" w:space="0" w:color="auto"/>
                <w:left w:val="none" w:sz="0" w:space="0" w:color="auto"/>
                <w:bottom w:val="none" w:sz="0" w:space="0" w:color="auto"/>
                <w:right w:val="none" w:sz="0" w:space="0" w:color="auto"/>
              </w:divBdr>
              <w:divsChild>
                <w:div w:id="739132643">
                  <w:marLeft w:val="0"/>
                  <w:marRight w:val="0"/>
                  <w:marTop w:val="0"/>
                  <w:marBottom w:val="0"/>
                  <w:divBdr>
                    <w:top w:val="none" w:sz="0" w:space="0" w:color="auto"/>
                    <w:left w:val="none" w:sz="0" w:space="0" w:color="auto"/>
                    <w:bottom w:val="none" w:sz="0" w:space="0" w:color="auto"/>
                    <w:right w:val="none" w:sz="0" w:space="0" w:color="auto"/>
                  </w:divBdr>
                  <w:divsChild>
                    <w:div w:id="887378691">
                      <w:marLeft w:val="0"/>
                      <w:marRight w:val="0"/>
                      <w:marTop w:val="0"/>
                      <w:marBottom w:val="0"/>
                      <w:divBdr>
                        <w:top w:val="none" w:sz="0" w:space="0" w:color="auto"/>
                        <w:left w:val="none" w:sz="0" w:space="0" w:color="auto"/>
                        <w:bottom w:val="none" w:sz="0" w:space="0" w:color="auto"/>
                        <w:right w:val="none" w:sz="0" w:space="0" w:color="auto"/>
                      </w:divBdr>
                      <w:divsChild>
                        <w:div w:id="1047532220">
                          <w:marLeft w:val="0"/>
                          <w:marRight w:val="0"/>
                          <w:marTop w:val="0"/>
                          <w:marBottom w:val="0"/>
                          <w:divBdr>
                            <w:top w:val="none" w:sz="0" w:space="0" w:color="auto"/>
                            <w:left w:val="none" w:sz="0" w:space="0" w:color="auto"/>
                            <w:bottom w:val="none" w:sz="0" w:space="0" w:color="auto"/>
                            <w:right w:val="none" w:sz="0" w:space="0" w:color="auto"/>
                          </w:divBdr>
                          <w:divsChild>
                            <w:div w:id="4775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072439">
      <w:bodyDiv w:val="1"/>
      <w:marLeft w:val="0"/>
      <w:marRight w:val="0"/>
      <w:marTop w:val="0"/>
      <w:marBottom w:val="0"/>
      <w:divBdr>
        <w:top w:val="none" w:sz="0" w:space="0" w:color="auto"/>
        <w:left w:val="none" w:sz="0" w:space="0" w:color="auto"/>
        <w:bottom w:val="none" w:sz="0" w:space="0" w:color="auto"/>
        <w:right w:val="none" w:sz="0" w:space="0" w:color="auto"/>
      </w:divBdr>
    </w:div>
    <w:div w:id="308100463">
      <w:bodyDiv w:val="1"/>
      <w:marLeft w:val="0"/>
      <w:marRight w:val="0"/>
      <w:marTop w:val="0"/>
      <w:marBottom w:val="0"/>
      <w:divBdr>
        <w:top w:val="none" w:sz="0" w:space="0" w:color="auto"/>
        <w:left w:val="none" w:sz="0" w:space="0" w:color="auto"/>
        <w:bottom w:val="none" w:sz="0" w:space="0" w:color="auto"/>
        <w:right w:val="none" w:sz="0" w:space="0" w:color="auto"/>
      </w:divBdr>
      <w:divsChild>
        <w:div w:id="621035622">
          <w:marLeft w:val="0"/>
          <w:marRight w:val="0"/>
          <w:marTop w:val="0"/>
          <w:marBottom w:val="0"/>
          <w:divBdr>
            <w:top w:val="none" w:sz="0" w:space="0" w:color="auto"/>
            <w:left w:val="none" w:sz="0" w:space="0" w:color="auto"/>
            <w:bottom w:val="none" w:sz="0" w:space="0" w:color="auto"/>
            <w:right w:val="none" w:sz="0" w:space="0" w:color="auto"/>
          </w:divBdr>
          <w:divsChild>
            <w:div w:id="1666591591">
              <w:marLeft w:val="0"/>
              <w:marRight w:val="0"/>
              <w:marTop w:val="0"/>
              <w:marBottom w:val="0"/>
              <w:divBdr>
                <w:top w:val="none" w:sz="0" w:space="0" w:color="auto"/>
                <w:left w:val="none" w:sz="0" w:space="0" w:color="auto"/>
                <w:bottom w:val="none" w:sz="0" w:space="0" w:color="auto"/>
                <w:right w:val="none" w:sz="0" w:space="0" w:color="auto"/>
              </w:divBdr>
              <w:divsChild>
                <w:div w:id="992099251">
                  <w:marLeft w:val="0"/>
                  <w:marRight w:val="0"/>
                  <w:marTop w:val="0"/>
                  <w:marBottom w:val="0"/>
                  <w:divBdr>
                    <w:top w:val="none" w:sz="0" w:space="0" w:color="auto"/>
                    <w:left w:val="none" w:sz="0" w:space="0" w:color="auto"/>
                    <w:bottom w:val="none" w:sz="0" w:space="0" w:color="auto"/>
                    <w:right w:val="none" w:sz="0" w:space="0" w:color="auto"/>
                  </w:divBdr>
                  <w:divsChild>
                    <w:div w:id="699741272">
                      <w:marLeft w:val="0"/>
                      <w:marRight w:val="0"/>
                      <w:marTop w:val="0"/>
                      <w:marBottom w:val="0"/>
                      <w:divBdr>
                        <w:top w:val="none" w:sz="0" w:space="0" w:color="auto"/>
                        <w:left w:val="none" w:sz="0" w:space="0" w:color="auto"/>
                        <w:bottom w:val="none" w:sz="0" w:space="0" w:color="auto"/>
                        <w:right w:val="none" w:sz="0" w:space="0" w:color="auto"/>
                      </w:divBdr>
                      <w:divsChild>
                        <w:div w:id="578178375">
                          <w:marLeft w:val="0"/>
                          <w:marRight w:val="0"/>
                          <w:marTop w:val="0"/>
                          <w:marBottom w:val="0"/>
                          <w:divBdr>
                            <w:top w:val="none" w:sz="0" w:space="0" w:color="auto"/>
                            <w:left w:val="none" w:sz="0" w:space="0" w:color="auto"/>
                            <w:bottom w:val="none" w:sz="0" w:space="0" w:color="auto"/>
                            <w:right w:val="none" w:sz="0" w:space="0" w:color="auto"/>
                          </w:divBdr>
                          <w:divsChild>
                            <w:div w:id="243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5676">
      <w:bodyDiv w:val="1"/>
      <w:marLeft w:val="0"/>
      <w:marRight w:val="0"/>
      <w:marTop w:val="0"/>
      <w:marBottom w:val="0"/>
      <w:divBdr>
        <w:top w:val="none" w:sz="0" w:space="0" w:color="auto"/>
        <w:left w:val="none" w:sz="0" w:space="0" w:color="auto"/>
        <w:bottom w:val="none" w:sz="0" w:space="0" w:color="auto"/>
        <w:right w:val="none" w:sz="0" w:space="0" w:color="auto"/>
      </w:divBdr>
      <w:divsChild>
        <w:div w:id="2004315047">
          <w:marLeft w:val="0"/>
          <w:marRight w:val="0"/>
          <w:marTop w:val="0"/>
          <w:marBottom w:val="0"/>
          <w:divBdr>
            <w:top w:val="none" w:sz="0" w:space="0" w:color="auto"/>
            <w:left w:val="none" w:sz="0" w:space="0" w:color="auto"/>
            <w:bottom w:val="none" w:sz="0" w:space="0" w:color="auto"/>
            <w:right w:val="none" w:sz="0" w:space="0" w:color="auto"/>
          </w:divBdr>
          <w:divsChild>
            <w:div w:id="1262295949">
              <w:marLeft w:val="0"/>
              <w:marRight w:val="0"/>
              <w:marTop w:val="200"/>
              <w:marBottom w:val="0"/>
              <w:divBdr>
                <w:top w:val="none" w:sz="0" w:space="0" w:color="auto"/>
                <w:left w:val="none" w:sz="0" w:space="0" w:color="auto"/>
                <w:bottom w:val="none" w:sz="0" w:space="0" w:color="auto"/>
                <w:right w:val="none" w:sz="0" w:space="0" w:color="auto"/>
              </w:divBdr>
              <w:divsChild>
                <w:div w:id="677079723">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369650168">
      <w:bodyDiv w:val="1"/>
      <w:marLeft w:val="0"/>
      <w:marRight w:val="0"/>
      <w:marTop w:val="0"/>
      <w:marBottom w:val="0"/>
      <w:divBdr>
        <w:top w:val="none" w:sz="0" w:space="0" w:color="auto"/>
        <w:left w:val="none" w:sz="0" w:space="0" w:color="auto"/>
        <w:bottom w:val="none" w:sz="0" w:space="0" w:color="auto"/>
        <w:right w:val="none" w:sz="0" w:space="0" w:color="auto"/>
      </w:divBdr>
      <w:divsChild>
        <w:div w:id="2089226525">
          <w:marLeft w:val="0"/>
          <w:marRight w:val="0"/>
          <w:marTop w:val="0"/>
          <w:marBottom w:val="0"/>
          <w:divBdr>
            <w:top w:val="none" w:sz="0" w:space="0" w:color="auto"/>
            <w:left w:val="none" w:sz="0" w:space="0" w:color="auto"/>
            <w:bottom w:val="none" w:sz="0" w:space="0" w:color="auto"/>
            <w:right w:val="none" w:sz="0" w:space="0" w:color="auto"/>
          </w:divBdr>
          <w:divsChild>
            <w:div w:id="1300645212">
              <w:marLeft w:val="0"/>
              <w:marRight w:val="0"/>
              <w:marTop w:val="0"/>
              <w:marBottom w:val="0"/>
              <w:divBdr>
                <w:top w:val="none" w:sz="0" w:space="0" w:color="auto"/>
                <w:left w:val="none" w:sz="0" w:space="0" w:color="auto"/>
                <w:bottom w:val="none" w:sz="0" w:space="0" w:color="auto"/>
                <w:right w:val="none" w:sz="0" w:space="0" w:color="auto"/>
              </w:divBdr>
              <w:divsChild>
                <w:div w:id="523052510">
                  <w:marLeft w:val="0"/>
                  <w:marRight w:val="0"/>
                  <w:marTop w:val="0"/>
                  <w:marBottom w:val="0"/>
                  <w:divBdr>
                    <w:top w:val="none" w:sz="0" w:space="0" w:color="auto"/>
                    <w:left w:val="none" w:sz="0" w:space="0" w:color="auto"/>
                    <w:bottom w:val="none" w:sz="0" w:space="0" w:color="auto"/>
                    <w:right w:val="none" w:sz="0" w:space="0" w:color="auto"/>
                  </w:divBdr>
                  <w:divsChild>
                    <w:div w:id="500236299">
                      <w:marLeft w:val="0"/>
                      <w:marRight w:val="0"/>
                      <w:marTop w:val="0"/>
                      <w:marBottom w:val="0"/>
                      <w:divBdr>
                        <w:top w:val="none" w:sz="0" w:space="0" w:color="auto"/>
                        <w:left w:val="none" w:sz="0" w:space="0" w:color="auto"/>
                        <w:bottom w:val="none" w:sz="0" w:space="0" w:color="auto"/>
                        <w:right w:val="none" w:sz="0" w:space="0" w:color="auto"/>
                      </w:divBdr>
                      <w:divsChild>
                        <w:div w:id="192380868">
                          <w:marLeft w:val="0"/>
                          <w:marRight w:val="0"/>
                          <w:marTop w:val="0"/>
                          <w:marBottom w:val="0"/>
                          <w:divBdr>
                            <w:top w:val="none" w:sz="0" w:space="0" w:color="auto"/>
                            <w:left w:val="none" w:sz="0" w:space="0" w:color="auto"/>
                            <w:bottom w:val="none" w:sz="0" w:space="0" w:color="auto"/>
                            <w:right w:val="none" w:sz="0" w:space="0" w:color="auto"/>
                          </w:divBdr>
                          <w:divsChild>
                            <w:div w:id="143279189">
                              <w:marLeft w:val="0"/>
                              <w:marRight w:val="0"/>
                              <w:marTop w:val="0"/>
                              <w:marBottom w:val="0"/>
                              <w:divBdr>
                                <w:top w:val="none" w:sz="0" w:space="0" w:color="auto"/>
                                <w:left w:val="none" w:sz="0" w:space="0" w:color="auto"/>
                                <w:bottom w:val="none" w:sz="0" w:space="0" w:color="auto"/>
                                <w:right w:val="none" w:sz="0" w:space="0" w:color="auto"/>
                              </w:divBdr>
                              <w:divsChild>
                                <w:div w:id="1056395110">
                                  <w:marLeft w:val="0"/>
                                  <w:marRight w:val="0"/>
                                  <w:marTop w:val="0"/>
                                  <w:marBottom w:val="0"/>
                                  <w:divBdr>
                                    <w:top w:val="none" w:sz="0" w:space="0" w:color="auto"/>
                                    <w:left w:val="none" w:sz="0" w:space="0" w:color="auto"/>
                                    <w:bottom w:val="none" w:sz="0" w:space="0" w:color="auto"/>
                                    <w:right w:val="none" w:sz="0" w:space="0" w:color="auto"/>
                                  </w:divBdr>
                                  <w:divsChild>
                                    <w:div w:id="438567718">
                                      <w:marLeft w:val="0"/>
                                      <w:marRight w:val="0"/>
                                      <w:marTop w:val="0"/>
                                      <w:marBottom w:val="0"/>
                                      <w:divBdr>
                                        <w:top w:val="none" w:sz="0" w:space="0" w:color="auto"/>
                                        <w:left w:val="none" w:sz="0" w:space="0" w:color="auto"/>
                                        <w:bottom w:val="none" w:sz="0" w:space="0" w:color="auto"/>
                                        <w:right w:val="none" w:sz="0" w:space="0" w:color="auto"/>
                                      </w:divBdr>
                                      <w:divsChild>
                                        <w:div w:id="442268194">
                                          <w:marLeft w:val="0"/>
                                          <w:marRight w:val="0"/>
                                          <w:marTop w:val="0"/>
                                          <w:marBottom w:val="0"/>
                                          <w:divBdr>
                                            <w:top w:val="none" w:sz="0" w:space="0" w:color="auto"/>
                                            <w:left w:val="none" w:sz="0" w:space="0" w:color="auto"/>
                                            <w:bottom w:val="none" w:sz="0" w:space="0" w:color="auto"/>
                                            <w:right w:val="none" w:sz="0" w:space="0" w:color="auto"/>
                                          </w:divBdr>
                                          <w:divsChild>
                                            <w:div w:id="1528519553">
                                              <w:marLeft w:val="0"/>
                                              <w:marRight w:val="0"/>
                                              <w:marTop w:val="0"/>
                                              <w:marBottom w:val="0"/>
                                              <w:divBdr>
                                                <w:top w:val="none" w:sz="0" w:space="0" w:color="auto"/>
                                                <w:left w:val="none" w:sz="0" w:space="0" w:color="auto"/>
                                                <w:bottom w:val="none" w:sz="0" w:space="0" w:color="auto"/>
                                                <w:right w:val="none" w:sz="0" w:space="0" w:color="auto"/>
                                              </w:divBdr>
                                              <w:divsChild>
                                                <w:div w:id="1466503595">
                                                  <w:marLeft w:val="0"/>
                                                  <w:marRight w:val="0"/>
                                                  <w:marTop w:val="0"/>
                                                  <w:marBottom w:val="0"/>
                                                  <w:divBdr>
                                                    <w:top w:val="none" w:sz="0" w:space="0" w:color="auto"/>
                                                    <w:left w:val="none" w:sz="0" w:space="0" w:color="auto"/>
                                                    <w:bottom w:val="none" w:sz="0" w:space="0" w:color="auto"/>
                                                    <w:right w:val="none" w:sz="0" w:space="0" w:color="auto"/>
                                                  </w:divBdr>
                                                </w:div>
                                              </w:divsChild>
                                            </w:div>
                                            <w:div w:id="3829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374222">
      <w:bodyDiv w:val="1"/>
      <w:marLeft w:val="0"/>
      <w:marRight w:val="0"/>
      <w:marTop w:val="0"/>
      <w:marBottom w:val="0"/>
      <w:divBdr>
        <w:top w:val="none" w:sz="0" w:space="0" w:color="auto"/>
        <w:left w:val="none" w:sz="0" w:space="0" w:color="auto"/>
        <w:bottom w:val="none" w:sz="0" w:space="0" w:color="auto"/>
        <w:right w:val="none" w:sz="0" w:space="0" w:color="auto"/>
      </w:divBdr>
      <w:divsChild>
        <w:div w:id="268440218">
          <w:marLeft w:val="0"/>
          <w:marRight w:val="0"/>
          <w:marTop w:val="0"/>
          <w:marBottom w:val="0"/>
          <w:divBdr>
            <w:top w:val="none" w:sz="0" w:space="0" w:color="auto"/>
            <w:left w:val="none" w:sz="0" w:space="0" w:color="auto"/>
            <w:bottom w:val="none" w:sz="0" w:space="0" w:color="auto"/>
            <w:right w:val="none" w:sz="0" w:space="0" w:color="auto"/>
          </w:divBdr>
          <w:divsChild>
            <w:div w:id="1372457665">
              <w:marLeft w:val="0"/>
              <w:marRight w:val="0"/>
              <w:marTop w:val="0"/>
              <w:marBottom w:val="0"/>
              <w:divBdr>
                <w:top w:val="none" w:sz="0" w:space="0" w:color="auto"/>
                <w:left w:val="none" w:sz="0" w:space="0" w:color="auto"/>
                <w:bottom w:val="none" w:sz="0" w:space="0" w:color="auto"/>
                <w:right w:val="none" w:sz="0" w:space="0" w:color="auto"/>
              </w:divBdr>
              <w:divsChild>
                <w:div w:id="10717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33366">
      <w:bodyDiv w:val="1"/>
      <w:marLeft w:val="0"/>
      <w:marRight w:val="0"/>
      <w:marTop w:val="0"/>
      <w:marBottom w:val="0"/>
      <w:divBdr>
        <w:top w:val="none" w:sz="0" w:space="0" w:color="auto"/>
        <w:left w:val="none" w:sz="0" w:space="0" w:color="auto"/>
        <w:bottom w:val="none" w:sz="0" w:space="0" w:color="auto"/>
        <w:right w:val="none" w:sz="0" w:space="0" w:color="auto"/>
      </w:divBdr>
      <w:divsChild>
        <w:div w:id="2010516618">
          <w:marLeft w:val="0"/>
          <w:marRight w:val="0"/>
          <w:marTop w:val="0"/>
          <w:marBottom w:val="0"/>
          <w:divBdr>
            <w:top w:val="none" w:sz="0" w:space="0" w:color="auto"/>
            <w:left w:val="none" w:sz="0" w:space="0" w:color="auto"/>
            <w:bottom w:val="none" w:sz="0" w:space="0" w:color="auto"/>
            <w:right w:val="none" w:sz="0" w:space="0" w:color="auto"/>
          </w:divBdr>
          <w:divsChild>
            <w:div w:id="570505256">
              <w:marLeft w:val="0"/>
              <w:marRight w:val="0"/>
              <w:marTop w:val="0"/>
              <w:marBottom w:val="0"/>
              <w:divBdr>
                <w:top w:val="none" w:sz="0" w:space="0" w:color="auto"/>
                <w:left w:val="none" w:sz="0" w:space="0" w:color="auto"/>
                <w:bottom w:val="none" w:sz="0" w:space="0" w:color="auto"/>
                <w:right w:val="none" w:sz="0" w:space="0" w:color="auto"/>
              </w:divBdr>
              <w:divsChild>
                <w:div w:id="131994022">
                  <w:marLeft w:val="0"/>
                  <w:marRight w:val="0"/>
                  <w:marTop w:val="0"/>
                  <w:marBottom w:val="0"/>
                  <w:divBdr>
                    <w:top w:val="none" w:sz="0" w:space="0" w:color="auto"/>
                    <w:left w:val="none" w:sz="0" w:space="0" w:color="auto"/>
                    <w:bottom w:val="none" w:sz="0" w:space="0" w:color="auto"/>
                    <w:right w:val="none" w:sz="0" w:space="0" w:color="auto"/>
                  </w:divBdr>
                  <w:divsChild>
                    <w:div w:id="948512090">
                      <w:marLeft w:val="0"/>
                      <w:marRight w:val="0"/>
                      <w:marTop w:val="0"/>
                      <w:marBottom w:val="0"/>
                      <w:divBdr>
                        <w:top w:val="none" w:sz="0" w:space="0" w:color="auto"/>
                        <w:left w:val="none" w:sz="0" w:space="0" w:color="auto"/>
                        <w:bottom w:val="none" w:sz="0" w:space="0" w:color="auto"/>
                        <w:right w:val="none" w:sz="0" w:space="0" w:color="auto"/>
                      </w:divBdr>
                      <w:divsChild>
                        <w:div w:id="863207111">
                          <w:marLeft w:val="0"/>
                          <w:marRight w:val="0"/>
                          <w:marTop w:val="0"/>
                          <w:marBottom w:val="0"/>
                          <w:divBdr>
                            <w:top w:val="none" w:sz="0" w:space="0" w:color="auto"/>
                            <w:left w:val="none" w:sz="0" w:space="0" w:color="auto"/>
                            <w:bottom w:val="none" w:sz="0" w:space="0" w:color="auto"/>
                            <w:right w:val="none" w:sz="0" w:space="0" w:color="auto"/>
                          </w:divBdr>
                          <w:divsChild>
                            <w:div w:id="1090616937">
                              <w:marLeft w:val="0"/>
                              <w:marRight w:val="0"/>
                              <w:marTop w:val="0"/>
                              <w:marBottom w:val="0"/>
                              <w:divBdr>
                                <w:top w:val="none" w:sz="0" w:space="0" w:color="auto"/>
                                <w:left w:val="none" w:sz="0" w:space="0" w:color="auto"/>
                                <w:bottom w:val="none" w:sz="0" w:space="0" w:color="auto"/>
                                <w:right w:val="none" w:sz="0" w:space="0" w:color="auto"/>
                              </w:divBdr>
                              <w:divsChild>
                                <w:div w:id="1420442953">
                                  <w:marLeft w:val="0"/>
                                  <w:marRight w:val="0"/>
                                  <w:marTop w:val="0"/>
                                  <w:marBottom w:val="0"/>
                                  <w:divBdr>
                                    <w:top w:val="none" w:sz="0" w:space="0" w:color="auto"/>
                                    <w:left w:val="none" w:sz="0" w:space="0" w:color="auto"/>
                                    <w:bottom w:val="none" w:sz="0" w:space="0" w:color="auto"/>
                                    <w:right w:val="none" w:sz="0" w:space="0" w:color="auto"/>
                                  </w:divBdr>
                                  <w:divsChild>
                                    <w:div w:id="1401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816806">
      <w:bodyDiv w:val="1"/>
      <w:marLeft w:val="0"/>
      <w:marRight w:val="0"/>
      <w:marTop w:val="0"/>
      <w:marBottom w:val="0"/>
      <w:divBdr>
        <w:top w:val="none" w:sz="0" w:space="0" w:color="auto"/>
        <w:left w:val="none" w:sz="0" w:space="0" w:color="auto"/>
        <w:bottom w:val="none" w:sz="0" w:space="0" w:color="auto"/>
        <w:right w:val="none" w:sz="0" w:space="0" w:color="auto"/>
      </w:divBdr>
      <w:divsChild>
        <w:div w:id="462578913">
          <w:marLeft w:val="0"/>
          <w:marRight w:val="0"/>
          <w:marTop w:val="0"/>
          <w:marBottom w:val="0"/>
          <w:divBdr>
            <w:top w:val="none" w:sz="0" w:space="0" w:color="auto"/>
            <w:left w:val="none" w:sz="0" w:space="0" w:color="auto"/>
            <w:bottom w:val="none" w:sz="0" w:space="0" w:color="auto"/>
            <w:right w:val="none" w:sz="0" w:space="0" w:color="auto"/>
          </w:divBdr>
          <w:divsChild>
            <w:div w:id="1793131284">
              <w:marLeft w:val="0"/>
              <w:marRight w:val="0"/>
              <w:marTop w:val="100"/>
              <w:marBottom w:val="100"/>
              <w:divBdr>
                <w:top w:val="none" w:sz="0" w:space="0" w:color="auto"/>
                <w:left w:val="none" w:sz="0" w:space="0" w:color="auto"/>
                <w:bottom w:val="none" w:sz="0" w:space="0" w:color="auto"/>
                <w:right w:val="none" w:sz="0" w:space="0" w:color="auto"/>
              </w:divBdr>
              <w:divsChild>
                <w:div w:id="723064793">
                  <w:marLeft w:val="-54"/>
                  <w:marRight w:val="0"/>
                  <w:marTop w:val="0"/>
                  <w:marBottom w:val="0"/>
                  <w:divBdr>
                    <w:top w:val="none" w:sz="0" w:space="0" w:color="auto"/>
                    <w:left w:val="none" w:sz="0" w:space="0" w:color="auto"/>
                    <w:bottom w:val="none" w:sz="0" w:space="0" w:color="auto"/>
                    <w:right w:val="none" w:sz="0" w:space="0" w:color="auto"/>
                  </w:divBdr>
                  <w:divsChild>
                    <w:div w:id="1001858532">
                      <w:marLeft w:val="0"/>
                      <w:marRight w:val="-54"/>
                      <w:marTop w:val="0"/>
                      <w:marBottom w:val="0"/>
                      <w:divBdr>
                        <w:top w:val="none" w:sz="0" w:space="0" w:color="auto"/>
                        <w:left w:val="none" w:sz="0" w:space="0" w:color="auto"/>
                        <w:bottom w:val="none" w:sz="0" w:space="0" w:color="auto"/>
                        <w:right w:val="none" w:sz="0" w:space="0" w:color="auto"/>
                      </w:divBdr>
                      <w:divsChild>
                        <w:div w:id="809714611">
                          <w:marLeft w:val="0"/>
                          <w:marRight w:val="0"/>
                          <w:marTop w:val="0"/>
                          <w:marBottom w:val="0"/>
                          <w:divBdr>
                            <w:top w:val="none" w:sz="0" w:space="0" w:color="auto"/>
                            <w:left w:val="none" w:sz="0" w:space="0" w:color="auto"/>
                            <w:bottom w:val="none" w:sz="0" w:space="0" w:color="auto"/>
                            <w:right w:val="none" w:sz="0" w:space="0" w:color="auto"/>
                          </w:divBdr>
                          <w:divsChild>
                            <w:div w:id="1586108953">
                              <w:marLeft w:val="0"/>
                              <w:marRight w:val="0"/>
                              <w:marTop w:val="0"/>
                              <w:marBottom w:val="0"/>
                              <w:divBdr>
                                <w:top w:val="none" w:sz="0" w:space="0" w:color="auto"/>
                                <w:left w:val="none" w:sz="0" w:space="0" w:color="auto"/>
                                <w:bottom w:val="none" w:sz="0" w:space="0" w:color="auto"/>
                                <w:right w:val="none" w:sz="0" w:space="0" w:color="auto"/>
                              </w:divBdr>
                              <w:divsChild>
                                <w:div w:id="1718891466">
                                  <w:marLeft w:val="0"/>
                                  <w:marRight w:val="0"/>
                                  <w:marTop w:val="0"/>
                                  <w:marBottom w:val="0"/>
                                  <w:divBdr>
                                    <w:top w:val="none" w:sz="0" w:space="0" w:color="auto"/>
                                    <w:left w:val="none" w:sz="0" w:space="0" w:color="auto"/>
                                    <w:bottom w:val="none" w:sz="0" w:space="0" w:color="auto"/>
                                    <w:right w:val="none" w:sz="0" w:space="0" w:color="auto"/>
                                  </w:divBdr>
                                  <w:divsChild>
                                    <w:div w:id="1872305036">
                                      <w:marLeft w:val="0"/>
                                      <w:marRight w:val="0"/>
                                      <w:marTop w:val="0"/>
                                      <w:marBottom w:val="0"/>
                                      <w:divBdr>
                                        <w:top w:val="none" w:sz="0" w:space="0" w:color="auto"/>
                                        <w:left w:val="none" w:sz="0" w:space="0" w:color="auto"/>
                                        <w:bottom w:val="none" w:sz="0" w:space="0" w:color="auto"/>
                                        <w:right w:val="none" w:sz="0" w:space="0" w:color="auto"/>
                                      </w:divBdr>
                                      <w:divsChild>
                                        <w:div w:id="1418940201">
                                          <w:marLeft w:val="0"/>
                                          <w:marRight w:val="0"/>
                                          <w:marTop w:val="0"/>
                                          <w:marBottom w:val="0"/>
                                          <w:divBdr>
                                            <w:top w:val="none" w:sz="0" w:space="0" w:color="auto"/>
                                            <w:left w:val="none" w:sz="0" w:space="0" w:color="auto"/>
                                            <w:bottom w:val="none" w:sz="0" w:space="0" w:color="auto"/>
                                            <w:right w:val="none" w:sz="0" w:space="0" w:color="auto"/>
                                          </w:divBdr>
                                          <w:divsChild>
                                            <w:div w:id="762841394">
                                              <w:marLeft w:val="0"/>
                                              <w:marRight w:val="0"/>
                                              <w:marTop w:val="0"/>
                                              <w:marBottom w:val="0"/>
                                              <w:divBdr>
                                                <w:top w:val="none" w:sz="0" w:space="0" w:color="auto"/>
                                                <w:left w:val="none" w:sz="0" w:space="0" w:color="auto"/>
                                                <w:bottom w:val="none" w:sz="0" w:space="0" w:color="auto"/>
                                                <w:right w:val="none" w:sz="0" w:space="0" w:color="auto"/>
                                              </w:divBdr>
                                              <w:divsChild>
                                                <w:div w:id="1462721393">
                                                  <w:marLeft w:val="0"/>
                                                  <w:marRight w:val="0"/>
                                                  <w:marTop w:val="0"/>
                                                  <w:marBottom w:val="0"/>
                                                  <w:divBdr>
                                                    <w:top w:val="none" w:sz="0" w:space="0" w:color="auto"/>
                                                    <w:left w:val="none" w:sz="0" w:space="0" w:color="auto"/>
                                                    <w:bottom w:val="none" w:sz="0" w:space="0" w:color="auto"/>
                                                    <w:right w:val="none" w:sz="0" w:space="0" w:color="auto"/>
                                                  </w:divBdr>
                                                  <w:divsChild>
                                                    <w:div w:id="519903616">
                                                      <w:marLeft w:val="0"/>
                                                      <w:marRight w:val="0"/>
                                                      <w:marTop w:val="0"/>
                                                      <w:marBottom w:val="0"/>
                                                      <w:divBdr>
                                                        <w:top w:val="none" w:sz="0" w:space="0" w:color="auto"/>
                                                        <w:left w:val="none" w:sz="0" w:space="0" w:color="auto"/>
                                                        <w:bottom w:val="none" w:sz="0" w:space="0" w:color="auto"/>
                                                        <w:right w:val="none" w:sz="0" w:space="0" w:color="auto"/>
                                                      </w:divBdr>
                                                      <w:divsChild>
                                                        <w:div w:id="1596668282">
                                                          <w:marLeft w:val="0"/>
                                                          <w:marRight w:val="0"/>
                                                          <w:marTop w:val="0"/>
                                                          <w:marBottom w:val="0"/>
                                                          <w:divBdr>
                                                            <w:top w:val="none" w:sz="0" w:space="0" w:color="auto"/>
                                                            <w:left w:val="none" w:sz="0" w:space="0" w:color="auto"/>
                                                            <w:bottom w:val="none" w:sz="0" w:space="0" w:color="auto"/>
                                                            <w:right w:val="none" w:sz="0" w:space="0" w:color="auto"/>
                                                          </w:divBdr>
                                                          <w:divsChild>
                                                            <w:div w:id="1270351855">
                                                              <w:marLeft w:val="2"/>
                                                              <w:marRight w:val="0"/>
                                                              <w:marTop w:val="0"/>
                                                              <w:marBottom w:val="0"/>
                                                              <w:divBdr>
                                                                <w:top w:val="none" w:sz="0" w:space="0" w:color="auto"/>
                                                                <w:left w:val="none" w:sz="0" w:space="0" w:color="auto"/>
                                                                <w:bottom w:val="none" w:sz="0" w:space="0" w:color="auto"/>
                                                                <w:right w:val="none" w:sz="0" w:space="0" w:color="auto"/>
                                                              </w:divBdr>
                                                              <w:divsChild>
                                                                <w:div w:id="1601452648">
                                                                  <w:marLeft w:val="0"/>
                                                                  <w:marRight w:val="0"/>
                                                                  <w:marTop w:val="0"/>
                                                                  <w:marBottom w:val="0"/>
                                                                  <w:divBdr>
                                                                    <w:top w:val="none" w:sz="0" w:space="0" w:color="auto"/>
                                                                    <w:left w:val="none" w:sz="0" w:space="0" w:color="auto"/>
                                                                    <w:bottom w:val="none" w:sz="0" w:space="0" w:color="auto"/>
                                                                    <w:right w:val="none" w:sz="0" w:space="0" w:color="auto"/>
                                                                  </w:divBdr>
                                                                  <w:divsChild>
                                                                    <w:div w:id="559708551">
                                                                      <w:marLeft w:val="0"/>
                                                                      <w:marRight w:val="0"/>
                                                                      <w:marTop w:val="0"/>
                                                                      <w:marBottom w:val="0"/>
                                                                      <w:divBdr>
                                                                        <w:top w:val="none" w:sz="0" w:space="0" w:color="auto"/>
                                                                        <w:left w:val="none" w:sz="0" w:space="0" w:color="auto"/>
                                                                        <w:bottom w:val="none" w:sz="0" w:space="0" w:color="auto"/>
                                                                        <w:right w:val="none" w:sz="0" w:space="0" w:color="auto"/>
                                                                      </w:divBdr>
                                                                      <w:divsChild>
                                                                        <w:div w:id="711610752">
                                                                          <w:marLeft w:val="0"/>
                                                                          <w:marRight w:val="0"/>
                                                                          <w:marTop w:val="0"/>
                                                                          <w:marBottom w:val="0"/>
                                                                          <w:divBdr>
                                                                            <w:top w:val="none" w:sz="0" w:space="0" w:color="auto"/>
                                                                            <w:left w:val="none" w:sz="0" w:space="0" w:color="auto"/>
                                                                            <w:bottom w:val="none" w:sz="0" w:space="0" w:color="auto"/>
                                                                            <w:right w:val="none" w:sz="0" w:space="0" w:color="auto"/>
                                                                          </w:divBdr>
                                                                        </w:div>
                                                                        <w:div w:id="973410740">
                                                                          <w:marLeft w:val="0"/>
                                                                          <w:marRight w:val="0"/>
                                                                          <w:marTop w:val="0"/>
                                                                          <w:marBottom w:val="0"/>
                                                                          <w:divBdr>
                                                                            <w:top w:val="none" w:sz="0" w:space="0" w:color="auto"/>
                                                                            <w:left w:val="none" w:sz="0" w:space="0" w:color="auto"/>
                                                                            <w:bottom w:val="none" w:sz="0" w:space="0" w:color="auto"/>
                                                                            <w:right w:val="none" w:sz="0" w:space="0" w:color="auto"/>
                                                                          </w:divBdr>
                                                                        </w:div>
                                                                        <w:div w:id="1031422535">
                                                                          <w:marLeft w:val="0"/>
                                                                          <w:marRight w:val="0"/>
                                                                          <w:marTop w:val="0"/>
                                                                          <w:marBottom w:val="0"/>
                                                                          <w:divBdr>
                                                                            <w:top w:val="none" w:sz="0" w:space="0" w:color="auto"/>
                                                                            <w:left w:val="none" w:sz="0" w:space="0" w:color="auto"/>
                                                                            <w:bottom w:val="none" w:sz="0" w:space="0" w:color="auto"/>
                                                                            <w:right w:val="none" w:sz="0" w:space="0" w:color="auto"/>
                                                                          </w:divBdr>
                                                                        </w:div>
                                                                        <w:div w:id="398753181">
                                                                          <w:marLeft w:val="0"/>
                                                                          <w:marRight w:val="0"/>
                                                                          <w:marTop w:val="0"/>
                                                                          <w:marBottom w:val="0"/>
                                                                          <w:divBdr>
                                                                            <w:top w:val="none" w:sz="0" w:space="0" w:color="auto"/>
                                                                            <w:left w:val="none" w:sz="0" w:space="0" w:color="auto"/>
                                                                            <w:bottom w:val="none" w:sz="0" w:space="0" w:color="auto"/>
                                                                            <w:right w:val="none" w:sz="0" w:space="0" w:color="auto"/>
                                                                          </w:divBdr>
                                                                          <w:divsChild>
                                                                            <w:div w:id="12418631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925378">
      <w:bodyDiv w:val="1"/>
      <w:marLeft w:val="0"/>
      <w:marRight w:val="0"/>
      <w:marTop w:val="0"/>
      <w:marBottom w:val="0"/>
      <w:divBdr>
        <w:top w:val="none" w:sz="0" w:space="0" w:color="auto"/>
        <w:left w:val="none" w:sz="0" w:space="0" w:color="auto"/>
        <w:bottom w:val="none" w:sz="0" w:space="0" w:color="auto"/>
        <w:right w:val="none" w:sz="0" w:space="0" w:color="auto"/>
      </w:divBdr>
      <w:divsChild>
        <w:div w:id="1260600792">
          <w:marLeft w:val="0"/>
          <w:marRight w:val="0"/>
          <w:marTop w:val="0"/>
          <w:marBottom w:val="0"/>
          <w:divBdr>
            <w:top w:val="none" w:sz="0" w:space="0" w:color="auto"/>
            <w:left w:val="none" w:sz="0" w:space="0" w:color="auto"/>
            <w:bottom w:val="none" w:sz="0" w:space="0" w:color="auto"/>
            <w:right w:val="none" w:sz="0" w:space="0" w:color="auto"/>
          </w:divBdr>
          <w:divsChild>
            <w:div w:id="227617016">
              <w:marLeft w:val="0"/>
              <w:marRight w:val="0"/>
              <w:marTop w:val="0"/>
              <w:marBottom w:val="0"/>
              <w:divBdr>
                <w:top w:val="none" w:sz="0" w:space="0" w:color="auto"/>
                <w:left w:val="none" w:sz="0" w:space="0" w:color="auto"/>
                <w:bottom w:val="none" w:sz="0" w:space="0" w:color="auto"/>
                <w:right w:val="none" w:sz="0" w:space="0" w:color="auto"/>
              </w:divBdr>
              <w:divsChild>
                <w:div w:id="1750030739">
                  <w:marLeft w:val="0"/>
                  <w:marRight w:val="0"/>
                  <w:marTop w:val="0"/>
                  <w:marBottom w:val="0"/>
                  <w:divBdr>
                    <w:top w:val="none" w:sz="0" w:space="0" w:color="auto"/>
                    <w:left w:val="none" w:sz="0" w:space="0" w:color="auto"/>
                    <w:bottom w:val="none" w:sz="0" w:space="0" w:color="auto"/>
                    <w:right w:val="none" w:sz="0" w:space="0" w:color="auto"/>
                  </w:divBdr>
                  <w:divsChild>
                    <w:div w:id="1200506073">
                      <w:marLeft w:val="0"/>
                      <w:marRight w:val="0"/>
                      <w:marTop w:val="0"/>
                      <w:marBottom w:val="0"/>
                      <w:divBdr>
                        <w:top w:val="none" w:sz="0" w:space="0" w:color="auto"/>
                        <w:left w:val="none" w:sz="0" w:space="0" w:color="auto"/>
                        <w:bottom w:val="none" w:sz="0" w:space="0" w:color="auto"/>
                        <w:right w:val="none" w:sz="0" w:space="0" w:color="auto"/>
                      </w:divBdr>
                      <w:divsChild>
                        <w:div w:id="11830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76281">
      <w:bodyDiv w:val="1"/>
      <w:marLeft w:val="0"/>
      <w:marRight w:val="0"/>
      <w:marTop w:val="0"/>
      <w:marBottom w:val="0"/>
      <w:divBdr>
        <w:top w:val="none" w:sz="0" w:space="0" w:color="auto"/>
        <w:left w:val="none" w:sz="0" w:space="0" w:color="auto"/>
        <w:bottom w:val="none" w:sz="0" w:space="0" w:color="auto"/>
        <w:right w:val="none" w:sz="0" w:space="0" w:color="auto"/>
      </w:divBdr>
      <w:divsChild>
        <w:div w:id="961035216">
          <w:marLeft w:val="0"/>
          <w:marRight w:val="0"/>
          <w:marTop w:val="0"/>
          <w:marBottom w:val="0"/>
          <w:divBdr>
            <w:top w:val="none" w:sz="0" w:space="0" w:color="auto"/>
            <w:left w:val="none" w:sz="0" w:space="0" w:color="auto"/>
            <w:bottom w:val="none" w:sz="0" w:space="0" w:color="auto"/>
            <w:right w:val="none" w:sz="0" w:space="0" w:color="auto"/>
          </w:divBdr>
          <w:divsChild>
            <w:div w:id="1324965442">
              <w:marLeft w:val="0"/>
              <w:marRight w:val="0"/>
              <w:marTop w:val="0"/>
              <w:marBottom w:val="0"/>
              <w:divBdr>
                <w:top w:val="none" w:sz="0" w:space="0" w:color="auto"/>
                <w:left w:val="none" w:sz="0" w:space="0" w:color="auto"/>
                <w:bottom w:val="none" w:sz="0" w:space="0" w:color="auto"/>
                <w:right w:val="none" w:sz="0" w:space="0" w:color="auto"/>
              </w:divBdr>
              <w:divsChild>
                <w:div w:id="792137411">
                  <w:marLeft w:val="0"/>
                  <w:marRight w:val="0"/>
                  <w:marTop w:val="0"/>
                  <w:marBottom w:val="0"/>
                  <w:divBdr>
                    <w:top w:val="none" w:sz="0" w:space="0" w:color="auto"/>
                    <w:left w:val="none" w:sz="0" w:space="0" w:color="auto"/>
                    <w:bottom w:val="none" w:sz="0" w:space="0" w:color="auto"/>
                    <w:right w:val="none" w:sz="0" w:space="0" w:color="auto"/>
                  </w:divBdr>
                  <w:divsChild>
                    <w:div w:id="1677538272">
                      <w:marLeft w:val="0"/>
                      <w:marRight w:val="0"/>
                      <w:marTop w:val="0"/>
                      <w:marBottom w:val="0"/>
                      <w:divBdr>
                        <w:top w:val="none" w:sz="0" w:space="0" w:color="auto"/>
                        <w:left w:val="none" w:sz="0" w:space="0" w:color="auto"/>
                        <w:bottom w:val="none" w:sz="0" w:space="0" w:color="auto"/>
                        <w:right w:val="none" w:sz="0" w:space="0" w:color="auto"/>
                      </w:divBdr>
                      <w:divsChild>
                        <w:div w:id="1432160209">
                          <w:marLeft w:val="0"/>
                          <w:marRight w:val="0"/>
                          <w:marTop w:val="0"/>
                          <w:marBottom w:val="0"/>
                          <w:divBdr>
                            <w:top w:val="none" w:sz="0" w:space="0" w:color="auto"/>
                            <w:left w:val="none" w:sz="0" w:space="0" w:color="auto"/>
                            <w:bottom w:val="none" w:sz="0" w:space="0" w:color="auto"/>
                            <w:right w:val="none" w:sz="0" w:space="0" w:color="auto"/>
                          </w:divBdr>
                          <w:divsChild>
                            <w:div w:id="891038842">
                              <w:marLeft w:val="0"/>
                              <w:marRight w:val="0"/>
                              <w:marTop w:val="0"/>
                              <w:marBottom w:val="0"/>
                              <w:divBdr>
                                <w:top w:val="none" w:sz="0" w:space="0" w:color="auto"/>
                                <w:left w:val="none" w:sz="0" w:space="0" w:color="auto"/>
                                <w:bottom w:val="none" w:sz="0" w:space="0" w:color="auto"/>
                                <w:right w:val="none" w:sz="0" w:space="0" w:color="auto"/>
                              </w:divBdr>
                              <w:divsChild>
                                <w:div w:id="1244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13936">
      <w:bodyDiv w:val="1"/>
      <w:marLeft w:val="0"/>
      <w:marRight w:val="0"/>
      <w:marTop w:val="0"/>
      <w:marBottom w:val="0"/>
      <w:divBdr>
        <w:top w:val="none" w:sz="0" w:space="0" w:color="auto"/>
        <w:left w:val="none" w:sz="0" w:space="0" w:color="auto"/>
        <w:bottom w:val="none" w:sz="0" w:space="0" w:color="auto"/>
        <w:right w:val="none" w:sz="0" w:space="0" w:color="auto"/>
      </w:divBdr>
      <w:divsChild>
        <w:div w:id="1124346257">
          <w:marLeft w:val="0"/>
          <w:marRight w:val="0"/>
          <w:marTop w:val="0"/>
          <w:marBottom w:val="0"/>
          <w:divBdr>
            <w:top w:val="none" w:sz="0" w:space="0" w:color="auto"/>
            <w:left w:val="none" w:sz="0" w:space="0" w:color="auto"/>
            <w:bottom w:val="none" w:sz="0" w:space="0" w:color="auto"/>
            <w:right w:val="none" w:sz="0" w:space="0" w:color="auto"/>
          </w:divBdr>
          <w:divsChild>
            <w:div w:id="2095465819">
              <w:marLeft w:val="0"/>
              <w:marRight w:val="0"/>
              <w:marTop w:val="0"/>
              <w:marBottom w:val="0"/>
              <w:divBdr>
                <w:top w:val="none" w:sz="0" w:space="0" w:color="auto"/>
                <w:left w:val="none" w:sz="0" w:space="0" w:color="auto"/>
                <w:bottom w:val="none" w:sz="0" w:space="0" w:color="auto"/>
                <w:right w:val="none" w:sz="0" w:space="0" w:color="auto"/>
              </w:divBdr>
              <w:divsChild>
                <w:div w:id="1642464500">
                  <w:marLeft w:val="1728"/>
                  <w:marRight w:val="0"/>
                  <w:marTop w:val="0"/>
                  <w:marBottom w:val="0"/>
                  <w:divBdr>
                    <w:top w:val="none" w:sz="0" w:space="0" w:color="auto"/>
                    <w:left w:val="none" w:sz="0" w:space="0" w:color="auto"/>
                    <w:bottom w:val="none" w:sz="0" w:space="0" w:color="auto"/>
                    <w:right w:val="none" w:sz="0" w:space="0" w:color="auto"/>
                  </w:divBdr>
                  <w:divsChild>
                    <w:div w:id="503517311">
                      <w:marLeft w:val="0"/>
                      <w:marRight w:val="0"/>
                      <w:marTop w:val="0"/>
                      <w:marBottom w:val="360"/>
                      <w:divBdr>
                        <w:top w:val="none" w:sz="0" w:space="0" w:color="auto"/>
                        <w:left w:val="none" w:sz="0" w:space="0" w:color="auto"/>
                        <w:bottom w:val="single" w:sz="4" w:space="0" w:color="363636"/>
                        <w:right w:val="none" w:sz="0" w:space="0" w:color="auto"/>
                      </w:divBdr>
                    </w:div>
                  </w:divsChild>
                </w:div>
              </w:divsChild>
            </w:div>
          </w:divsChild>
        </w:div>
      </w:divsChild>
    </w:div>
    <w:div w:id="973295660">
      <w:bodyDiv w:val="1"/>
      <w:marLeft w:val="0"/>
      <w:marRight w:val="0"/>
      <w:marTop w:val="0"/>
      <w:marBottom w:val="0"/>
      <w:divBdr>
        <w:top w:val="none" w:sz="0" w:space="0" w:color="auto"/>
        <w:left w:val="none" w:sz="0" w:space="0" w:color="auto"/>
        <w:bottom w:val="none" w:sz="0" w:space="0" w:color="auto"/>
        <w:right w:val="none" w:sz="0" w:space="0" w:color="auto"/>
      </w:divBdr>
      <w:divsChild>
        <w:div w:id="1944990248">
          <w:marLeft w:val="0"/>
          <w:marRight w:val="0"/>
          <w:marTop w:val="0"/>
          <w:marBottom w:val="0"/>
          <w:divBdr>
            <w:top w:val="none" w:sz="0" w:space="0" w:color="auto"/>
            <w:left w:val="none" w:sz="0" w:space="0" w:color="auto"/>
            <w:bottom w:val="none" w:sz="0" w:space="0" w:color="auto"/>
            <w:right w:val="none" w:sz="0" w:space="0" w:color="auto"/>
          </w:divBdr>
          <w:divsChild>
            <w:div w:id="2139250701">
              <w:marLeft w:val="0"/>
              <w:marRight w:val="0"/>
              <w:marTop w:val="0"/>
              <w:marBottom w:val="0"/>
              <w:divBdr>
                <w:top w:val="none" w:sz="0" w:space="0" w:color="auto"/>
                <w:left w:val="none" w:sz="0" w:space="0" w:color="auto"/>
                <w:bottom w:val="none" w:sz="0" w:space="0" w:color="auto"/>
                <w:right w:val="none" w:sz="0" w:space="0" w:color="auto"/>
              </w:divBdr>
              <w:divsChild>
                <w:div w:id="362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23016">
      <w:bodyDiv w:val="1"/>
      <w:marLeft w:val="0"/>
      <w:marRight w:val="0"/>
      <w:marTop w:val="0"/>
      <w:marBottom w:val="0"/>
      <w:divBdr>
        <w:top w:val="none" w:sz="0" w:space="0" w:color="auto"/>
        <w:left w:val="none" w:sz="0" w:space="0" w:color="auto"/>
        <w:bottom w:val="none" w:sz="0" w:space="0" w:color="auto"/>
        <w:right w:val="none" w:sz="0" w:space="0" w:color="auto"/>
      </w:divBdr>
      <w:divsChild>
        <w:div w:id="1875921229">
          <w:marLeft w:val="0"/>
          <w:marRight w:val="0"/>
          <w:marTop w:val="0"/>
          <w:marBottom w:val="0"/>
          <w:divBdr>
            <w:top w:val="none" w:sz="0" w:space="0" w:color="auto"/>
            <w:left w:val="none" w:sz="0" w:space="0" w:color="auto"/>
            <w:bottom w:val="none" w:sz="0" w:space="0" w:color="auto"/>
            <w:right w:val="none" w:sz="0" w:space="0" w:color="auto"/>
          </w:divBdr>
          <w:divsChild>
            <w:div w:id="2126995379">
              <w:marLeft w:val="0"/>
              <w:marRight w:val="0"/>
              <w:marTop w:val="0"/>
              <w:marBottom w:val="0"/>
              <w:divBdr>
                <w:top w:val="none" w:sz="0" w:space="0" w:color="auto"/>
                <w:left w:val="none" w:sz="0" w:space="0" w:color="auto"/>
                <w:bottom w:val="none" w:sz="0" w:space="0" w:color="auto"/>
                <w:right w:val="none" w:sz="0" w:space="0" w:color="auto"/>
              </w:divBdr>
              <w:divsChild>
                <w:div w:id="1010717775">
                  <w:marLeft w:val="0"/>
                  <w:marRight w:val="0"/>
                  <w:marTop w:val="0"/>
                  <w:marBottom w:val="0"/>
                  <w:divBdr>
                    <w:top w:val="none" w:sz="0" w:space="0" w:color="auto"/>
                    <w:left w:val="none" w:sz="0" w:space="0" w:color="auto"/>
                    <w:bottom w:val="none" w:sz="0" w:space="0" w:color="auto"/>
                    <w:right w:val="none" w:sz="0" w:space="0" w:color="auto"/>
                  </w:divBdr>
                  <w:divsChild>
                    <w:div w:id="1293711997">
                      <w:marLeft w:val="0"/>
                      <w:marRight w:val="0"/>
                      <w:marTop w:val="0"/>
                      <w:marBottom w:val="0"/>
                      <w:divBdr>
                        <w:top w:val="none" w:sz="0" w:space="0" w:color="auto"/>
                        <w:left w:val="none" w:sz="0" w:space="0" w:color="auto"/>
                        <w:bottom w:val="none" w:sz="0" w:space="0" w:color="auto"/>
                        <w:right w:val="none" w:sz="0" w:space="0" w:color="auto"/>
                      </w:divBdr>
                      <w:divsChild>
                        <w:div w:id="600528013">
                          <w:marLeft w:val="0"/>
                          <w:marRight w:val="0"/>
                          <w:marTop w:val="0"/>
                          <w:marBottom w:val="0"/>
                          <w:divBdr>
                            <w:top w:val="none" w:sz="0" w:space="0" w:color="auto"/>
                            <w:left w:val="none" w:sz="0" w:space="0" w:color="auto"/>
                            <w:bottom w:val="none" w:sz="0" w:space="0" w:color="auto"/>
                            <w:right w:val="none" w:sz="0" w:space="0" w:color="auto"/>
                          </w:divBdr>
                          <w:divsChild>
                            <w:div w:id="702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1933">
      <w:bodyDiv w:val="1"/>
      <w:marLeft w:val="0"/>
      <w:marRight w:val="0"/>
      <w:marTop w:val="0"/>
      <w:marBottom w:val="0"/>
      <w:divBdr>
        <w:top w:val="none" w:sz="0" w:space="0" w:color="auto"/>
        <w:left w:val="none" w:sz="0" w:space="0" w:color="auto"/>
        <w:bottom w:val="none" w:sz="0" w:space="0" w:color="auto"/>
        <w:right w:val="none" w:sz="0" w:space="0" w:color="auto"/>
      </w:divBdr>
      <w:divsChild>
        <w:div w:id="920481828">
          <w:marLeft w:val="0"/>
          <w:marRight w:val="0"/>
          <w:marTop w:val="0"/>
          <w:marBottom w:val="0"/>
          <w:divBdr>
            <w:top w:val="none" w:sz="0" w:space="0" w:color="auto"/>
            <w:left w:val="none" w:sz="0" w:space="0" w:color="auto"/>
            <w:bottom w:val="none" w:sz="0" w:space="0" w:color="auto"/>
            <w:right w:val="none" w:sz="0" w:space="0" w:color="auto"/>
          </w:divBdr>
          <w:divsChild>
            <w:div w:id="1021930802">
              <w:marLeft w:val="0"/>
              <w:marRight w:val="0"/>
              <w:marTop w:val="0"/>
              <w:marBottom w:val="0"/>
              <w:divBdr>
                <w:top w:val="none" w:sz="0" w:space="0" w:color="auto"/>
                <w:left w:val="none" w:sz="0" w:space="0" w:color="auto"/>
                <w:bottom w:val="none" w:sz="0" w:space="0" w:color="auto"/>
                <w:right w:val="none" w:sz="0" w:space="0" w:color="auto"/>
              </w:divBdr>
              <w:divsChild>
                <w:div w:id="753473426">
                  <w:marLeft w:val="0"/>
                  <w:marRight w:val="0"/>
                  <w:marTop w:val="0"/>
                  <w:marBottom w:val="0"/>
                  <w:divBdr>
                    <w:top w:val="none" w:sz="0" w:space="0" w:color="auto"/>
                    <w:left w:val="none" w:sz="0" w:space="0" w:color="auto"/>
                    <w:bottom w:val="none" w:sz="0" w:space="0" w:color="auto"/>
                    <w:right w:val="none" w:sz="0" w:space="0" w:color="auto"/>
                  </w:divBdr>
                  <w:divsChild>
                    <w:div w:id="1780637440">
                      <w:marLeft w:val="0"/>
                      <w:marRight w:val="0"/>
                      <w:marTop w:val="0"/>
                      <w:marBottom w:val="0"/>
                      <w:divBdr>
                        <w:top w:val="none" w:sz="0" w:space="0" w:color="auto"/>
                        <w:left w:val="none" w:sz="0" w:space="0" w:color="auto"/>
                        <w:bottom w:val="none" w:sz="0" w:space="0" w:color="auto"/>
                        <w:right w:val="none" w:sz="0" w:space="0" w:color="auto"/>
                      </w:divBdr>
                      <w:divsChild>
                        <w:div w:id="1241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20238">
      <w:bodyDiv w:val="1"/>
      <w:marLeft w:val="0"/>
      <w:marRight w:val="0"/>
      <w:marTop w:val="0"/>
      <w:marBottom w:val="0"/>
      <w:divBdr>
        <w:top w:val="none" w:sz="0" w:space="0" w:color="auto"/>
        <w:left w:val="none" w:sz="0" w:space="0" w:color="auto"/>
        <w:bottom w:val="none" w:sz="0" w:space="0" w:color="auto"/>
        <w:right w:val="none" w:sz="0" w:space="0" w:color="auto"/>
      </w:divBdr>
      <w:divsChild>
        <w:div w:id="2004383140">
          <w:marLeft w:val="0"/>
          <w:marRight w:val="0"/>
          <w:marTop w:val="100"/>
          <w:marBottom w:val="100"/>
          <w:divBdr>
            <w:top w:val="none" w:sz="0" w:space="0" w:color="auto"/>
            <w:left w:val="none" w:sz="0" w:space="0" w:color="auto"/>
            <w:bottom w:val="none" w:sz="0" w:space="0" w:color="auto"/>
            <w:right w:val="none" w:sz="0" w:space="0" w:color="auto"/>
          </w:divBdr>
          <w:divsChild>
            <w:div w:id="17230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7190">
      <w:bodyDiv w:val="1"/>
      <w:marLeft w:val="0"/>
      <w:marRight w:val="0"/>
      <w:marTop w:val="0"/>
      <w:marBottom w:val="0"/>
      <w:divBdr>
        <w:top w:val="none" w:sz="0" w:space="0" w:color="auto"/>
        <w:left w:val="none" w:sz="0" w:space="0" w:color="auto"/>
        <w:bottom w:val="none" w:sz="0" w:space="0" w:color="auto"/>
        <w:right w:val="none" w:sz="0" w:space="0" w:color="auto"/>
      </w:divBdr>
      <w:divsChild>
        <w:div w:id="801466083">
          <w:marLeft w:val="0"/>
          <w:marRight w:val="0"/>
          <w:marTop w:val="0"/>
          <w:marBottom w:val="0"/>
          <w:divBdr>
            <w:top w:val="none" w:sz="0" w:space="0" w:color="auto"/>
            <w:left w:val="none" w:sz="0" w:space="0" w:color="auto"/>
            <w:bottom w:val="none" w:sz="0" w:space="0" w:color="auto"/>
            <w:right w:val="none" w:sz="0" w:space="0" w:color="auto"/>
          </w:divBdr>
          <w:divsChild>
            <w:div w:id="1760521618">
              <w:marLeft w:val="0"/>
              <w:marRight w:val="0"/>
              <w:marTop w:val="0"/>
              <w:marBottom w:val="0"/>
              <w:divBdr>
                <w:top w:val="none" w:sz="0" w:space="0" w:color="auto"/>
                <w:left w:val="none" w:sz="0" w:space="0" w:color="auto"/>
                <w:bottom w:val="none" w:sz="0" w:space="0" w:color="auto"/>
                <w:right w:val="none" w:sz="0" w:space="0" w:color="auto"/>
              </w:divBdr>
              <w:divsChild>
                <w:div w:id="749883750">
                  <w:marLeft w:val="0"/>
                  <w:marRight w:val="0"/>
                  <w:marTop w:val="0"/>
                  <w:marBottom w:val="0"/>
                  <w:divBdr>
                    <w:top w:val="none" w:sz="0" w:space="0" w:color="auto"/>
                    <w:left w:val="none" w:sz="0" w:space="0" w:color="auto"/>
                    <w:bottom w:val="none" w:sz="0" w:space="0" w:color="auto"/>
                    <w:right w:val="none" w:sz="0" w:space="0" w:color="auto"/>
                  </w:divBdr>
                  <w:divsChild>
                    <w:div w:id="1035349300">
                      <w:marLeft w:val="0"/>
                      <w:marRight w:val="0"/>
                      <w:marTop w:val="0"/>
                      <w:marBottom w:val="0"/>
                      <w:divBdr>
                        <w:top w:val="none" w:sz="0" w:space="0" w:color="auto"/>
                        <w:left w:val="none" w:sz="0" w:space="0" w:color="auto"/>
                        <w:bottom w:val="none" w:sz="0" w:space="0" w:color="auto"/>
                        <w:right w:val="none" w:sz="0" w:space="0" w:color="auto"/>
                      </w:divBdr>
                      <w:divsChild>
                        <w:div w:id="1961568887">
                          <w:marLeft w:val="0"/>
                          <w:marRight w:val="0"/>
                          <w:marTop w:val="0"/>
                          <w:marBottom w:val="0"/>
                          <w:divBdr>
                            <w:top w:val="none" w:sz="0" w:space="0" w:color="auto"/>
                            <w:left w:val="none" w:sz="0" w:space="0" w:color="auto"/>
                            <w:bottom w:val="none" w:sz="0" w:space="0" w:color="auto"/>
                            <w:right w:val="none" w:sz="0" w:space="0" w:color="auto"/>
                          </w:divBdr>
                          <w:divsChild>
                            <w:div w:id="587423493">
                              <w:marLeft w:val="0"/>
                              <w:marRight w:val="0"/>
                              <w:marTop w:val="0"/>
                              <w:marBottom w:val="0"/>
                              <w:divBdr>
                                <w:top w:val="none" w:sz="0" w:space="0" w:color="auto"/>
                                <w:left w:val="none" w:sz="0" w:space="0" w:color="auto"/>
                                <w:bottom w:val="none" w:sz="0" w:space="0" w:color="auto"/>
                                <w:right w:val="none" w:sz="0" w:space="0" w:color="auto"/>
                              </w:divBdr>
                              <w:divsChild>
                                <w:div w:id="465467014">
                                  <w:marLeft w:val="0"/>
                                  <w:marRight w:val="0"/>
                                  <w:marTop w:val="0"/>
                                  <w:marBottom w:val="0"/>
                                  <w:divBdr>
                                    <w:top w:val="none" w:sz="0" w:space="0" w:color="auto"/>
                                    <w:left w:val="none" w:sz="0" w:space="0" w:color="auto"/>
                                    <w:bottom w:val="none" w:sz="0" w:space="0" w:color="auto"/>
                                    <w:right w:val="none" w:sz="0" w:space="0" w:color="auto"/>
                                  </w:divBdr>
                                  <w:divsChild>
                                    <w:div w:id="6737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458077">
      <w:bodyDiv w:val="1"/>
      <w:marLeft w:val="0"/>
      <w:marRight w:val="0"/>
      <w:marTop w:val="0"/>
      <w:marBottom w:val="0"/>
      <w:divBdr>
        <w:top w:val="none" w:sz="0" w:space="0" w:color="auto"/>
        <w:left w:val="none" w:sz="0" w:space="0" w:color="auto"/>
        <w:bottom w:val="none" w:sz="0" w:space="0" w:color="auto"/>
        <w:right w:val="none" w:sz="0" w:space="0" w:color="auto"/>
      </w:divBdr>
      <w:divsChild>
        <w:div w:id="1663922696">
          <w:marLeft w:val="0"/>
          <w:marRight w:val="0"/>
          <w:marTop w:val="0"/>
          <w:marBottom w:val="0"/>
          <w:divBdr>
            <w:top w:val="none" w:sz="0" w:space="0" w:color="auto"/>
            <w:left w:val="none" w:sz="0" w:space="0" w:color="auto"/>
            <w:bottom w:val="none" w:sz="0" w:space="0" w:color="auto"/>
            <w:right w:val="none" w:sz="0" w:space="0" w:color="auto"/>
          </w:divBdr>
        </w:div>
      </w:divsChild>
    </w:div>
    <w:div w:id="1322612890">
      <w:bodyDiv w:val="1"/>
      <w:marLeft w:val="0"/>
      <w:marRight w:val="0"/>
      <w:marTop w:val="0"/>
      <w:marBottom w:val="0"/>
      <w:divBdr>
        <w:top w:val="none" w:sz="0" w:space="0" w:color="auto"/>
        <w:left w:val="none" w:sz="0" w:space="0" w:color="auto"/>
        <w:bottom w:val="none" w:sz="0" w:space="0" w:color="auto"/>
        <w:right w:val="none" w:sz="0" w:space="0" w:color="auto"/>
      </w:divBdr>
      <w:divsChild>
        <w:div w:id="1858738313">
          <w:marLeft w:val="0"/>
          <w:marRight w:val="0"/>
          <w:marTop w:val="0"/>
          <w:marBottom w:val="0"/>
          <w:divBdr>
            <w:top w:val="none" w:sz="0" w:space="0" w:color="auto"/>
            <w:left w:val="none" w:sz="0" w:space="0" w:color="auto"/>
            <w:bottom w:val="none" w:sz="0" w:space="0" w:color="auto"/>
            <w:right w:val="none" w:sz="0" w:space="0" w:color="auto"/>
          </w:divBdr>
          <w:divsChild>
            <w:div w:id="931083751">
              <w:marLeft w:val="0"/>
              <w:marRight w:val="0"/>
              <w:marTop w:val="0"/>
              <w:marBottom w:val="0"/>
              <w:divBdr>
                <w:top w:val="none" w:sz="0" w:space="0" w:color="auto"/>
                <w:left w:val="none" w:sz="0" w:space="0" w:color="auto"/>
                <w:bottom w:val="none" w:sz="0" w:space="0" w:color="auto"/>
                <w:right w:val="none" w:sz="0" w:space="0" w:color="auto"/>
              </w:divBdr>
              <w:divsChild>
                <w:div w:id="1061831930">
                  <w:marLeft w:val="0"/>
                  <w:marRight w:val="0"/>
                  <w:marTop w:val="0"/>
                  <w:marBottom w:val="0"/>
                  <w:divBdr>
                    <w:top w:val="none" w:sz="0" w:space="0" w:color="auto"/>
                    <w:left w:val="none" w:sz="0" w:space="0" w:color="auto"/>
                    <w:bottom w:val="none" w:sz="0" w:space="0" w:color="auto"/>
                    <w:right w:val="none" w:sz="0" w:space="0" w:color="auto"/>
                  </w:divBdr>
                  <w:divsChild>
                    <w:div w:id="982930142">
                      <w:marLeft w:val="0"/>
                      <w:marRight w:val="0"/>
                      <w:marTop w:val="0"/>
                      <w:marBottom w:val="0"/>
                      <w:divBdr>
                        <w:top w:val="none" w:sz="0" w:space="0" w:color="auto"/>
                        <w:left w:val="none" w:sz="0" w:space="0" w:color="auto"/>
                        <w:bottom w:val="none" w:sz="0" w:space="0" w:color="auto"/>
                        <w:right w:val="none" w:sz="0" w:space="0" w:color="auto"/>
                      </w:divBdr>
                      <w:divsChild>
                        <w:div w:id="1008874177">
                          <w:marLeft w:val="0"/>
                          <w:marRight w:val="0"/>
                          <w:marTop w:val="0"/>
                          <w:marBottom w:val="0"/>
                          <w:divBdr>
                            <w:top w:val="none" w:sz="0" w:space="0" w:color="auto"/>
                            <w:left w:val="none" w:sz="0" w:space="0" w:color="auto"/>
                            <w:bottom w:val="none" w:sz="0" w:space="0" w:color="auto"/>
                            <w:right w:val="none" w:sz="0" w:space="0" w:color="auto"/>
                          </w:divBdr>
                          <w:divsChild>
                            <w:div w:id="21199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56074">
      <w:bodyDiv w:val="1"/>
      <w:marLeft w:val="0"/>
      <w:marRight w:val="0"/>
      <w:marTop w:val="0"/>
      <w:marBottom w:val="0"/>
      <w:divBdr>
        <w:top w:val="none" w:sz="0" w:space="0" w:color="auto"/>
        <w:left w:val="none" w:sz="0" w:space="0" w:color="auto"/>
        <w:bottom w:val="none" w:sz="0" w:space="0" w:color="auto"/>
        <w:right w:val="none" w:sz="0" w:space="0" w:color="auto"/>
      </w:divBdr>
      <w:divsChild>
        <w:div w:id="1813212336">
          <w:marLeft w:val="0"/>
          <w:marRight w:val="0"/>
          <w:marTop w:val="0"/>
          <w:marBottom w:val="0"/>
          <w:divBdr>
            <w:top w:val="none" w:sz="0" w:space="0" w:color="auto"/>
            <w:left w:val="none" w:sz="0" w:space="0" w:color="auto"/>
            <w:bottom w:val="none" w:sz="0" w:space="0" w:color="auto"/>
            <w:right w:val="none" w:sz="0" w:space="0" w:color="auto"/>
          </w:divBdr>
          <w:divsChild>
            <w:div w:id="1092972848">
              <w:marLeft w:val="0"/>
              <w:marRight w:val="0"/>
              <w:marTop w:val="0"/>
              <w:marBottom w:val="0"/>
              <w:divBdr>
                <w:top w:val="none" w:sz="0" w:space="0" w:color="auto"/>
                <w:left w:val="none" w:sz="0" w:space="0" w:color="auto"/>
                <w:bottom w:val="none" w:sz="0" w:space="0" w:color="auto"/>
                <w:right w:val="none" w:sz="0" w:space="0" w:color="auto"/>
              </w:divBdr>
              <w:divsChild>
                <w:div w:id="1013149195">
                  <w:marLeft w:val="0"/>
                  <w:marRight w:val="0"/>
                  <w:marTop w:val="0"/>
                  <w:marBottom w:val="0"/>
                  <w:divBdr>
                    <w:top w:val="none" w:sz="0" w:space="0" w:color="auto"/>
                    <w:left w:val="none" w:sz="0" w:space="0" w:color="auto"/>
                    <w:bottom w:val="none" w:sz="0" w:space="0" w:color="auto"/>
                    <w:right w:val="none" w:sz="0" w:space="0" w:color="auto"/>
                  </w:divBdr>
                  <w:divsChild>
                    <w:div w:id="535042058">
                      <w:marLeft w:val="0"/>
                      <w:marRight w:val="0"/>
                      <w:marTop w:val="0"/>
                      <w:marBottom w:val="0"/>
                      <w:divBdr>
                        <w:top w:val="none" w:sz="0" w:space="0" w:color="auto"/>
                        <w:left w:val="none" w:sz="0" w:space="0" w:color="auto"/>
                        <w:bottom w:val="none" w:sz="0" w:space="0" w:color="auto"/>
                        <w:right w:val="none" w:sz="0" w:space="0" w:color="auto"/>
                      </w:divBdr>
                      <w:divsChild>
                        <w:div w:id="69348286">
                          <w:marLeft w:val="0"/>
                          <w:marRight w:val="0"/>
                          <w:marTop w:val="0"/>
                          <w:marBottom w:val="0"/>
                          <w:divBdr>
                            <w:top w:val="none" w:sz="0" w:space="0" w:color="auto"/>
                            <w:left w:val="none" w:sz="0" w:space="0" w:color="auto"/>
                            <w:bottom w:val="none" w:sz="0" w:space="0" w:color="auto"/>
                            <w:right w:val="none" w:sz="0" w:space="0" w:color="auto"/>
                          </w:divBdr>
                          <w:divsChild>
                            <w:div w:id="683438161">
                              <w:marLeft w:val="0"/>
                              <w:marRight w:val="0"/>
                              <w:marTop w:val="0"/>
                              <w:marBottom w:val="0"/>
                              <w:divBdr>
                                <w:top w:val="none" w:sz="0" w:space="0" w:color="auto"/>
                                <w:left w:val="none" w:sz="0" w:space="0" w:color="auto"/>
                                <w:bottom w:val="none" w:sz="0" w:space="0" w:color="auto"/>
                                <w:right w:val="none" w:sz="0" w:space="0" w:color="auto"/>
                              </w:divBdr>
                              <w:divsChild>
                                <w:div w:id="976110431">
                                  <w:marLeft w:val="0"/>
                                  <w:marRight w:val="0"/>
                                  <w:marTop w:val="0"/>
                                  <w:marBottom w:val="0"/>
                                  <w:divBdr>
                                    <w:top w:val="none" w:sz="0" w:space="0" w:color="auto"/>
                                    <w:left w:val="none" w:sz="0" w:space="0" w:color="auto"/>
                                    <w:bottom w:val="none" w:sz="0" w:space="0" w:color="auto"/>
                                    <w:right w:val="none" w:sz="0" w:space="0" w:color="auto"/>
                                  </w:divBdr>
                                  <w:divsChild>
                                    <w:div w:id="139923906">
                                      <w:marLeft w:val="0"/>
                                      <w:marRight w:val="0"/>
                                      <w:marTop w:val="0"/>
                                      <w:marBottom w:val="0"/>
                                      <w:divBdr>
                                        <w:top w:val="none" w:sz="0" w:space="0" w:color="auto"/>
                                        <w:left w:val="none" w:sz="0" w:space="0" w:color="auto"/>
                                        <w:bottom w:val="none" w:sz="0" w:space="0" w:color="auto"/>
                                        <w:right w:val="none" w:sz="0" w:space="0" w:color="auto"/>
                                      </w:divBdr>
                                      <w:divsChild>
                                        <w:div w:id="920212873">
                                          <w:marLeft w:val="0"/>
                                          <w:marRight w:val="0"/>
                                          <w:marTop w:val="0"/>
                                          <w:marBottom w:val="0"/>
                                          <w:divBdr>
                                            <w:top w:val="none" w:sz="0" w:space="0" w:color="auto"/>
                                            <w:left w:val="none" w:sz="0" w:space="0" w:color="auto"/>
                                            <w:bottom w:val="none" w:sz="0" w:space="0" w:color="auto"/>
                                            <w:right w:val="none" w:sz="0" w:space="0" w:color="auto"/>
                                          </w:divBdr>
                                          <w:divsChild>
                                            <w:div w:id="863980602">
                                              <w:marLeft w:val="0"/>
                                              <w:marRight w:val="0"/>
                                              <w:marTop w:val="0"/>
                                              <w:marBottom w:val="0"/>
                                              <w:divBdr>
                                                <w:top w:val="none" w:sz="0" w:space="0" w:color="auto"/>
                                                <w:left w:val="none" w:sz="0" w:space="0" w:color="auto"/>
                                                <w:bottom w:val="none" w:sz="0" w:space="0" w:color="auto"/>
                                                <w:right w:val="none" w:sz="0" w:space="0" w:color="auto"/>
                                              </w:divBdr>
                                              <w:divsChild>
                                                <w:div w:id="426771568">
                                                  <w:marLeft w:val="0"/>
                                                  <w:marRight w:val="0"/>
                                                  <w:marTop w:val="0"/>
                                                  <w:marBottom w:val="0"/>
                                                  <w:divBdr>
                                                    <w:top w:val="none" w:sz="0" w:space="0" w:color="auto"/>
                                                    <w:left w:val="none" w:sz="0" w:space="0" w:color="auto"/>
                                                    <w:bottom w:val="none" w:sz="0" w:space="0" w:color="auto"/>
                                                    <w:right w:val="none" w:sz="0" w:space="0" w:color="auto"/>
                                                  </w:divBdr>
                                                </w:div>
                                              </w:divsChild>
                                            </w:div>
                                            <w:div w:id="20627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204302">
      <w:bodyDiv w:val="1"/>
      <w:marLeft w:val="0"/>
      <w:marRight w:val="0"/>
      <w:marTop w:val="0"/>
      <w:marBottom w:val="0"/>
      <w:divBdr>
        <w:top w:val="none" w:sz="0" w:space="0" w:color="auto"/>
        <w:left w:val="none" w:sz="0" w:space="0" w:color="auto"/>
        <w:bottom w:val="none" w:sz="0" w:space="0" w:color="auto"/>
        <w:right w:val="none" w:sz="0" w:space="0" w:color="auto"/>
      </w:divBdr>
      <w:divsChild>
        <w:div w:id="1732189899">
          <w:marLeft w:val="0"/>
          <w:marRight w:val="0"/>
          <w:marTop w:val="0"/>
          <w:marBottom w:val="0"/>
          <w:divBdr>
            <w:top w:val="none" w:sz="0" w:space="0" w:color="auto"/>
            <w:left w:val="none" w:sz="0" w:space="0" w:color="auto"/>
            <w:bottom w:val="none" w:sz="0" w:space="0" w:color="auto"/>
            <w:right w:val="none" w:sz="0" w:space="0" w:color="auto"/>
          </w:divBdr>
          <w:divsChild>
            <w:div w:id="40833051">
              <w:marLeft w:val="0"/>
              <w:marRight w:val="0"/>
              <w:marTop w:val="0"/>
              <w:marBottom w:val="0"/>
              <w:divBdr>
                <w:top w:val="none" w:sz="0" w:space="0" w:color="auto"/>
                <w:left w:val="none" w:sz="0" w:space="0" w:color="auto"/>
                <w:bottom w:val="none" w:sz="0" w:space="0" w:color="auto"/>
                <w:right w:val="none" w:sz="0" w:space="0" w:color="auto"/>
              </w:divBdr>
              <w:divsChild>
                <w:div w:id="1326013970">
                  <w:marLeft w:val="0"/>
                  <w:marRight w:val="0"/>
                  <w:marTop w:val="0"/>
                  <w:marBottom w:val="0"/>
                  <w:divBdr>
                    <w:top w:val="none" w:sz="0" w:space="0" w:color="auto"/>
                    <w:left w:val="none" w:sz="0" w:space="0" w:color="auto"/>
                    <w:bottom w:val="none" w:sz="0" w:space="0" w:color="auto"/>
                    <w:right w:val="none" w:sz="0" w:space="0" w:color="auto"/>
                  </w:divBdr>
                  <w:divsChild>
                    <w:div w:id="726953340">
                      <w:marLeft w:val="0"/>
                      <w:marRight w:val="0"/>
                      <w:marTop w:val="0"/>
                      <w:marBottom w:val="0"/>
                      <w:divBdr>
                        <w:top w:val="none" w:sz="0" w:space="0" w:color="auto"/>
                        <w:left w:val="none" w:sz="0" w:space="0" w:color="auto"/>
                        <w:bottom w:val="none" w:sz="0" w:space="0" w:color="auto"/>
                        <w:right w:val="none" w:sz="0" w:space="0" w:color="auto"/>
                      </w:divBdr>
                      <w:divsChild>
                        <w:div w:id="502090308">
                          <w:marLeft w:val="0"/>
                          <w:marRight w:val="0"/>
                          <w:marTop w:val="0"/>
                          <w:marBottom w:val="0"/>
                          <w:divBdr>
                            <w:top w:val="none" w:sz="0" w:space="0" w:color="auto"/>
                            <w:left w:val="none" w:sz="0" w:space="0" w:color="auto"/>
                            <w:bottom w:val="none" w:sz="0" w:space="0" w:color="auto"/>
                            <w:right w:val="none" w:sz="0" w:space="0" w:color="auto"/>
                          </w:divBdr>
                          <w:divsChild>
                            <w:div w:id="1678462869">
                              <w:marLeft w:val="0"/>
                              <w:marRight w:val="0"/>
                              <w:marTop w:val="0"/>
                              <w:marBottom w:val="0"/>
                              <w:divBdr>
                                <w:top w:val="none" w:sz="0" w:space="0" w:color="auto"/>
                                <w:left w:val="none" w:sz="0" w:space="0" w:color="auto"/>
                                <w:bottom w:val="none" w:sz="0" w:space="0" w:color="auto"/>
                                <w:right w:val="none" w:sz="0" w:space="0" w:color="auto"/>
                              </w:divBdr>
                              <w:divsChild>
                                <w:div w:id="1724209201">
                                  <w:marLeft w:val="0"/>
                                  <w:marRight w:val="0"/>
                                  <w:marTop w:val="0"/>
                                  <w:marBottom w:val="0"/>
                                  <w:divBdr>
                                    <w:top w:val="none" w:sz="0" w:space="0" w:color="auto"/>
                                    <w:left w:val="none" w:sz="0" w:space="0" w:color="auto"/>
                                    <w:bottom w:val="none" w:sz="0" w:space="0" w:color="auto"/>
                                    <w:right w:val="none" w:sz="0" w:space="0" w:color="auto"/>
                                  </w:divBdr>
                                  <w:divsChild>
                                    <w:div w:id="7535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150160">
      <w:bodyDiv w:val="1"/>
      <w:marLeft w:val="0"/>
      <w:marRight w:val="0"/>
      <w:marTop w:val="0"/>
      <w:marBottom w:val="0"/>
      <w:divBdr>
        <w:top w:val="none" w:sz="0" w:space="0" w:color="auto"/>
        <w:left w:val="none" w:sz="0" w:space="0" w:color="auto"/>
        <w:bottom w:val="none" w:sz="0" w:space="0" w:color="auto"/>
        <w:right w:val="none" w:sz="0" w:space="0" w:color="auto"/>
      </w:divBdr>
      <w:divsChild>
        <w:div w:id="1859999535">
          <w:marLeft w:val="0"/>
          <w:marRight w:val="0"/>
          <w:marTop w:val="0"/>
          <w:marBottom w:val="0"/>
          <w:divBdr>
            <w:top w:val="none" w:sz="0" w:space="0" w:color="auto"/>
            <w:left w:val="none" w:sz="0" w:space="0" w:color="auto"/>
            <w:bottom w:val="none" w:sz="0" w:space="0" w:color="auto"/>
            <w:right w:val="none" w:sz="0" w:space="0" w:color="auto"/>
          </w:divBdr>
          <w:divsChild>
            <w:div w:id="2011834650">
              <w:marLeft w:val="0"/>
              <w:marRight w:val="0"/>
              <w:marTop w:val="200"/>
              <w:marBottom w:val="0"/>
              <w:divBdr>
                <w:top w:val="none" w:sz="0" w:space="0" w:color="auto"/>
                <w:left w:val="none" w:sz="0" w:space="0" w:color="auto"/>
                <w:bottom w:val="none" w:sz="0" w:space="0" w:color="auto"/>
                <w:right w:val="none" w:sz="0" w:space="0" w:color="auto"/>
              </w:divBdr>
              <w:divsChild>
                <w:div w:id="1236358113">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522357194">
      <w:bodyDiv w:val="1"/>
      <w:marLeft w:val="0"/>
      <w:marRight w:val="0"/>
      <w:marTop w:val="0"/>
      <w:marBottom w:val="0"/>
      <w:divBdr>
        <w:top w:val="none" w:sz="0" w:space="0" w:color="auto"/>
        <w:left w:val="none" w:sz="0" w:space="0" w:color="auto"/>
        <w:bottom w:val="none" w:sz="0" w:space="0" w:color="auto"/>
        <w:right w:val="none" w:sz="0" w:space="0" w:color="auto"/>
      </w:divBdr>
      <w:divsChild>
        <w:div w:id="225922806">
          <w:marLeft w:val="0"/>
          <w:marRight w:val="0"/>
          <w:marTop w:val="0"/>
          <w:marBottom w:val="0"/>
          <w:divBdr>
            <w:top w:val="none" w:sz="0" w:space="0" w:color="auto"/>
            <w:left w:val="none" w:sz="0" w:space="0" w:color="auto"/>
            <w:bottom w:val="none" w:sz="0" w:space="0" w:color="auto"/>
            <w:right w:val="none" w:sz="0" w:space="0" w:color="auto"/>
          </w:divBdr>
          <w:divsChild>
            <w:div w:id="287904596">
              <w:marLeft w:val="0"/>
              <w:marRight w:val="0"/>
              <w:marTop w:val="0"/>
              <w:marBottom w:val="0"/>
              <w:divBdr>
                <w:top w:val="none" w:sz="0" w:space="0" w:color="auto"/>
                <w:left w:val="none" w:sz="0" w:space="0" w:color="auto"/>
                <w:bottom w:val="none" w:sz="0" w:space="0" w:color="auto"/>
                <w:right w:val="none" w:sz="0" w:space="0" w:color="auto"/>
              </w:divBdr>
              <w:divsChild>
                <w:div w:id="1328443310">
                  <w:marLeft w:val="0"/>
                  <w:marRight w:val="0"/>
                  <w:marTop w:val="0"/>
                  <w:marBottom w:val="0"/>
                  <w:divBdr>
                    <w:top w:val="none" w:sz="0" w:space="0" w:color="auto"/>
                    <w:left w:val="none" w:sz="0" w:space="0" w:color="auto"/>
                    <w:bottom w:val="none" w:sz="0" w:space="0" w:color="auto"/>
                    <w:right w:val="none" w:sz="0" w:space="0" w:color="auto"/>
                  </w:divBdr>
                  <w:divsChild>
                    <w:div w:id="94177423">
                      <w:marLeft w:val="0"/>
                      <w:marRight w:val="0"/>
                      <w:marTop w:val="0"/>
                      <w:marBottom w:val="0"/>
                      <w:divBdr>
                        <w:top w:val="none" w:sz="0" w:space="0" w:color="auto"/>
                        <w:left w:val="none" w:sz="0" w:space="0" w:color="auto"/>
                        <w:bottom w:val="none" w:sz="0" w:space="0" w:color="auto"/>
                        <w:right w:val="none" w:sz="0" w:space="0" w:color="auto"/>
                      </w:divBdr>
                      <w:divsChild>
                        <w:div w:id="1559779207">
                          <w:marLeft w:val="0"/>
                          <w:marRight w:val="0"/>
                          <w:marTop w:val="0"/>
                          <w:marBottom w:val="0"/>
                          <w:divBdr>
                            <w:top w:val="none" w:sz="0" w:space="0" w:color="auto"/>
                            <w:left w:val="none" w:sz="0" w:space="0" w:color="auto"/>
                            <w:bottom w:val="none" w:sz="0" w:space="0" w:color="auto"/>
                            <w:right w:val="none" w:sz="0" w:space="0" w:color="auto"/>
                          </w:divBdr>
                          <w:divsChild>
                            <w:div w:id="1058700579">
                              <w:marLeft w:val="0"/>
                              <w:marRight w:val="0"/>
                              <w:marTop w:val="0"/>
                              <w:marBottom w:val="0"/>
                              <w:divBdr>
                                <w:top w:val="none" w:sz="0" w:space="0" w:color="auto"/>
                                <w:left w:val="none" w:sz="0" w:space="0" w:color="auto"/>
                                <w:bottom w:val="none" w:sz="0" w:space="0" w:color="auto"/>
                                <w:right w:val="none" w:sz="0" w:space="0" w:color="auto"/>
                              </w:divBdr>
                              <w:divsChild>
                                <w:div w:id="214856890">
                                  <w:marLeft w:val="0"/>
                                  <w:marRight w:val="0"/>
                                  <w:marTop w:val="0"/>
                                  <w:marBottom w:val="0"/>
                                  <w:divBdr>
                                    <w:top w:val="none" w:sz="0" w:space="0" w:color="auto"/>
                                    <w:left w:val="none" w:sz="0" w:space="0" w:color="auto"/>
                                    <w:bottom w:val="none" w:sz="0" w:space="0" w:color="auto"/>
                                    <w:right w:val="none" w:sz="0" w:space="0" w:color="auto"/>
                                  </w:divBdr>
                                  <w:divsChild>
                                    <w:div w:id="1768191068">
                                      <w:marLeft w:val="0"/>
                                      <w:marRight w:val="0"/>
                                      <w:marTop w:val="0"/>
                                      <w:marBottom w:val="0"/>
                                      <w:divBdr>
                                        <w:top w:val="none" w:sz="0" w:space="0" w:color="auto"/>
                                        <w:left w:val="none" w:sz="0" w:space="0" w:color="auto"/>
                                        <w:bottom w:val="none" w:sz="0" w:space="0" w:color="auto"/>
                                        <w:right w:val="none" w:sz="0" w:space="0" w:color="auto"/>
                                      </w:divBdr>
                                      <w:divsChild>
                                        <w:div w:id="1103116234">
                                          <w:marLeft w:val="0"/>
                                          <w:marRight w:val="0"/>
                                          <w:marTop w:val="0"/>
                                          <w:marBottom w:val="0"/>
                                          <w:divBdr>
                                            <w:top w:val="none" w:sz="0" w:space="0" w:color="auto"/>
                                            <w:left w:val="none" w:sz="0" w:space="0" w:color="auto"/>
                                            <w:bottom w:val="none" w:sz="0" w:space="0" w:color="auto"/>
                                            <w:right w:val="none" w:sz="0" w:space="0" w:color="auto"/>
                                          </w:divBdr>
                                          <w:divsChild>
                                            <w:div w:id="1696494453">
                                              <w:marLeft w:val="0"/>
                                              <w:marRight w:val="0"/>
                                              <w:marTop w:val="0"/>
                                              <w:marBottom w:val="0"/>
                                              <w:divBdr>
                                                <w:top w:val="none" w:sz="0" w:space="0" w:color="auto"/>
                                                <w:left w:val="none" w:sz="0" w:space="0" w:color="auto"/>
                                                <w:bottom w:val="none" w:sz="0" w:space="0" w:color="auto"/>
                                                <w:right w:val="none" w:sz="0" w:space="0" w:color="auto"/>
                                              </w:divBdr>
                                              <w:divsChild>
                                                <w:div w:id="829639104">
                                                  <w:marLeft w:val="0"/>
                                                  <w:marRight w:val="0"/>
                                                  <w:marTop w:val="0"/>
                                                  <w:marBottom w:val="0"/>
                                                  <w:divBdr>
                                                    <w:top w:val="none" w:sz="0" w:space="0" w:color="auto"/>
                                                    <w:left w:val="none" w:sz="0" w:space="0" w:color="auto"/>
                                                    <w:bottom w:val="none" w:sz="0" w:space="0" w:color="auto"/>
                                                    <w:right w:val="none" w:sz="0" w:space="0" w:color="auto"/>
                                                  </w:divBdr>
                                                </w:div>
                                              </w:divsChild>
                                            </w:div>
                                            <w:div w:id="20061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871999">
      <w:bodyDiv w:val="1"/>
      <w:marLeft w:val="0"/>
      <w:marRight w:val="0"/>
      <w:marTop w:val="0"/>
      <w:marBottom w:val="0"/>
      <w:divBdr>
        <w:top w:val="none" w:sz="0" w:space="0" w:color="auto"/>
        <w:left w:val="none" w:sz="0" w:space="0" w:color="auto"/>
        <w:bottom w:val="none" w:sz="0" w:space="0" w:color="auto"/>
        <w:right w:val="none" w:sz="0" w:space="0" w:color="auto"/>
      </w:divBdr>
      <w:divsChild>
        <w:div w:id="2080058924">
          <w:marLeft w:val="0"/>
          <w:marRight w:val="0"/>
          <w:marTop w:val="0"/>
          <w:marBottom w:val="0"/>
          <w:divBdr>
            <w:top w:val="none" w:sz="0" w:space="0" w:color="auto"/>
            <w:left w:val="none" w:sz="0" w:space="0" w:color="auto"/>
            <w:bottom w:val="none" w:sz="0" w:space="0" w:color="auto"/>
            <w:right w:val="none" w:sz="0" w:space="0" w:color="auto"/>
          </w:divBdr>
          <w:divsChild>
            <w:div w:id="1417938337">
              <w:marLeft w:val="0"/>
              <w:marRight w:val="0"/>
              <w:marTop w:val="0"/>
              <w:marBottom w:val="0"/>
              <w:divBdr>
                <w:top w:val="none" w:sz="0" w:space="0" w:color="auto"/>
                <w:left w:val="none" w:sz="0" w:space="0" w:color="auto"/>
                <w:bottom w:val="none" w:sz="0" w:space="0" w:color="auto"/>
                <w:right w:val="none" w:sz="0" w:space="0" w:color="auto"/>
              </w:divBdr>
              <w:divsChild>
                <w:div w:id="1501233401">
                  <w:marLeft w:val="0"/>
                  <w:marRight w:val="0"/>
                  <w:marTop w:val="0"/>
                  <w:marBottom w:val="0"/>
                  <w:divBdr>
                    <w:top w:val="none" w:sz="0" w:space="0" w:color="auto"/>
                    <w:left w:val="none" w:sz="0" w:space="0" w:color="auto"/>
                    <w:bottom w:val="none" w:sz="0" w:space="0" w:color="auto"/>
                    <w:right w:val="none" w:sz="0" w:space="0" w:color="auto"/>
                  </w:divBdr>
                  <w:divsChild>
                    <w:div w:id="1142430124">
                      <w:marLeft w:val="0"/>
                      <w:marRight w:val="0"/>
                      <w:marTop w:val="0"/>
                      <w:marBottom w:val="0"/>
                      <w:divBdr>
                        <w:top w:val="none" w:sz="0" w:space="0" w:color="auto"/>
                        <w:left w:val="none" w:sz="0" w:space="0" w:color="auto"/>
                        <w:bottom w:val="none" w:sz="0" w:space="0" w:color="auto"/>
                        <w:right w:val="none" w:sz="0" w:space="0" w:color="auto"/>
                      </w:divBdr>
                      <w:divsChild>
                        <w:div w:id="19208165">
                          <w:marLeft w:val="0"/>
                          <w:marRight w:val="0"/>
                          <w:marTop w:val="0"/>
                          <w:marBottom w:val="0"/>
                          <w:divBdr>
                            <w:top w:val="none" w:sz="0" w:space="0" w:color="auto"/>
                            <w:left w:val="none" w:sz="0" w:space="0" w:color="auto"/>
                            <w:bottom w:val="none" w:sz="0" w:space="0" w:color="auto"/>
                            <w:right w:val="none" w:sz="0" w:space="0" w:color="auto"/>
                          </w:divBdr>
                          <w:divsChild>
                            <w:div w:id="1603535245">
                              <w:marLeft w:val="0"/>
                              <w:marRight w:val="0"/>
                              <w:marTop w:val="0"/>
                              <w:marBottom w:val="0"/>
                              <w:divBdr>
                                <w:top w:val="none" w:sz="0" w:space="0" w:color="auto"/>
                                <w:left w:val="none" w:sz="0" w:space="0" w:color="auto"/>
                                <w:bottom w:val="none" w:sz="0" w:space="0" w:color="auto"/>
                                <w:right w:val="none" w:sz="0" w:space="0" w:color="auto"/>
                              </w:divBdr>
                              <w:divsChild>
                                <w:div w:id="95759332">
                                  <w:marLeft w:val="0"/>
                                  <w:marRight w:val="0"/>
                                  <w:marTop w:val="0"/>
                                  <w:marBottom w:val="0"/>
                                  <w:divBdr>
                                    <w:top w:val="none" w:sz="0" w:space="0" w:color="auto"/>
                                    <w:left w:val="none" w:sz="0" w:space="0" w:color="auto"/>
                                    <w:bottom w:val="none" w:sz="0" w:space="0" w:color="auto"/>
                                    <w:right w:val="none" w:sz="0" w:space="0" w:color="auto"/>
                                  </w:divBdr>
                                  <w:divsChild>
                                    <w:div w:id="1647393229">
                                      <w:marLeft w:val="0"/>
                                      <w:marRight w:val="0"/>
                                      <w:marTop w:val="0"/>
                                      <w:marBottom w:val="0"/>
                                      <w:divBdr>
                                        <w:top w:val="none" w:sz="0" w:space="0" w:color="auto"/>
                                        <w:left w:val="none" w:sz="0" w:space="0" w:color="auto"/>
                                        <w:bottom w:val="none" w:sz="0" w:space="0" w:color="auto"/>
                                        <w:right w:val="none" w:sz="0" w:space="0" w:color="auto"/>
                                      </w:divBdr>
                                      <w:divsChild>
                                        <w:div w:id="882446640">
                                          <w:marLeft w:val="0"/>
                                          <w:marRight w:val="0"/>
                                          <w:marTop w:val="0"/>
                                          <w:marBottom w:val="0"/>
                                          <w:divBdr>
                                            <w:top w:val="none" w:sz="0" w:space="0" w:color="auto"/>
                                            <w:left w:val="none" w:sz="0" w:space="0" w:color="auto"/>
                                            <w:bottom w:val="none" w:sz="0" w:space="0" w:color="auto"/>
                                            <w:right w:val="none" w:sz="0" w:space="0" w:color="auto"/>
                                          </w:divBdr>
                                          <w:divsChild>
                                            <w:div w:id="1188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866842">
      <w:bodyDiv w:val="1"/>
      <w:marLeft w:val="0"/>
      <w:marRight w:val="0"/>
      <w:marTop w:val="0"/>
      <w:marBottom w:val="0"/>
      <w:divBdr>
        <w:top w:val="none" w:sz="0" w:space="0" w:color="auto"/>
        <w:left w:val="none" w:sz="0" w:space="0" w:color="auto"/>
        <w:bottom w:val="none" w:sz="0" w:space="0" w:color="auto"/>
        <w:right w:val="none" w:sz="0" w:space="0" w:color="auto"/>
      </w:divBdr>
      <w:divsChild>
        <w:div w:id="1034383597">
          <w:marLeft w:val="0"/>
          <w:marRight w:val="0"/>
          <w:marTop w:val="0"/>
          <w:marBottom w:val="0"/>
          <w:divBdr>
            <w:top w:val="none" w:sz="0" w:space="0" w:color="auto"/>
            <w:left w:val="none" w:sz="0" w:space="0" w:color="auto"/>
            <w:bottom w:val="none" w:sz="0" w:space="0" w:color="auto"/>
            <w:right w:val="none" w:sz="0" w:space="0" w:color="auto"/>
          </w:divBdr>
          <w:divsChild>
            <w:div w:id="1618876312">
              <w:marLeft w:val="0"/>
              <w:marRight w:val="0"/>
              <w:marTop w:val="0"/>
              <w:marBottom w:val="0"/>
              <w:divBdr>
                <w:top w:val="none" w:sz="0" w:space="0" w:color="auto"/>
                <w:left w:val="none" w:sz="0" w:space="0" w:color="auto"/>
                <w:bottom w:val="none" w:sz="0" w:space="0" w:color="auto"/>
                <w:right w:val="none" w:sz="0" w:space="0" w:color="auto"/>
              </w:divBdr>
              <w:divsChild>
                <w:div w:id="1543860464">
                  <w:marLeft w:val="1728"/>
                  <w:marRight w:val="0"/>
                  <w:marTop w:val="0"/>
                  <w:marBottom w:val="0"/>
                  <w:divBdr>
                    <w:top w:val="none" w:sz="0" w:space="0" w:color="auto"/>
                    <w:left w:val="none" w:sz="0" w:space="0" w:color="auto"/>
                    <w:bottom w:val="none" w:sz="0" w:space="0" w:color="auto"/>
                    <w:right w:val="none" w:sz="0" w:space="0" w:color="auto"/>
                  </w:divBdr>
                  <w:divsChild>
                    <w:div w:id="349258879">
                      <w:marLeft w:val="0"/>
                      <w:marRight w:val="0"/>
                      <w:marTop w:val="0"/>
                      <w:marBottom w:val="360"/>
                      <w:divBdr>
                        <w:top w:val="none" w:sz="0" w:space="0" w:color="auto"/>
                        <w:left w:val="none" w:sz="0" w:space="0" w:color="auto"/>
                        <w:bottom w:val="single" w:sz="4" w:space="0" w:color="363636"/>
                        <w:right w:val="none" w:sz="0" w:space="0" w:color="auto"/>
                      </w:divBdr>
                    </w:div>
                  </w:divsChild>
                </w:div>
              </w:divsChild>
            </w:div>
          </w:divsChild>
        </w:div>
      </w:divsChild>
    </w:div>
    <w:div w:id="1582174601">
      <w:bodyDiv w:val="1"/>
      <w:marLeft w:val="0"/>
      <w:marRight w:val="0"/>
      <w:marTop w:val="0"/>
      <w:marBottom w:val="0"/>
      <w:divBdr>
        <w:top w:val="none" w:sz="0" w:space="0" w:color="auto"/>
        <w:left w:val="none" w:sz="0" w:space="0" w:color="auto"/>
        <w:bottom w:val="none" w:sz="0" w:space="0" w:color="auto"/>
        <w:right w:val="none" w:sz="0" w:space="0" w:color="auto"/>
      </w:divBdr>
      <w:divsChild>
        <w:div w:id="258028990">
          <w:marLeft w:val="0"/>
          <w:marRight w:val="0"/>
          <w:marTop w:val="0"/>
          <w:marBottom w:val="0"/>
          <w:divBdr>
            <w:top w:val="none" w:sz="0" w:space="0" w:color="auto"/>
            <w:left w:val="none" w:sz="0" w:space="0" w:color="auto"/>
            <w:bottom w:val="none" w:sz="0" w:space="0" w:color="auto"/>
            <w:right w:val="none" w:sz="0" w:space="0" w:color="auto"/>
          </w:divBdr>
          <w:divsChild>
            <w:div w:id="1491098797">
              <w:marLeft w:val="0"/>
              <w:marRight w:val="0"/>
              <w:marTop w:val="0"/>
              <w:marBottom w:val="0"/>
              <w:divBdr>
                <w:top w:val="none" w:sz="0" w:space="0" w:color="auto"/>
                <w:left w:val="none" w:sz="0" w:space="0" w:color="auto"/>
                <w:bottom w:val="none" w:sz="0" w:space="0" w:color="auto"/>
                <w:right w:val="none" w:sz="0" w:space="0" w:color="auto"/>
              </w:divBdr>
              <w:divsChild>
                <w:div w:id="1763332864">
                  <w:marLeft w:val="0"/>
                  <w:marRight w:val="0"/>
                  <w:marTop w:val="0"/>
                  <w:marBottom w:val="0"/>
                  <w:divBdr>
                    <w:top w:val="none" w:sz="0" w:space="0" w:color="auto"/>
                    <w:left w:val="none" w:sz="0" w:space="0" w:color="auto"/>
                    <w:bottom w:val="none" w:sz="0" w:space="0" w:color="auto"/>
                    <w:right w:val="none" w:sz="0" w:space="0" w:color="auto"/>
                  </w:divBdr>
                  <w:divsChild>
                    <w:div w:id="1333139687">
                      <w:marLeft w:val="0"/>
                      <w:marRight w:val="0"/>
                      <w:marTop w:val="0"/>
                      <w:marBottom w:val="0"/>
                      <w:divBdr>
                        <w:top w:val="none" w:sz="0" w:space="0" w:color="auto"/>
                        <w:left w:val="none" w:sz="0" w:space="0" w:color="auto"/>
                        <w:bottom w:val="none" w:sz="0" w:space="0" w:color="auto"/>
                        <w:right w:val="none" w:sz="0" w:space="0" w:color="auto"/>
                      </w:divBdr>
                      <w:divsChild>
                        <w:div w:id="1263610878">
                          <w:marLeft w:val="0"/>
                          <w:marRight w:val="0"/>
                          <w:marTop w:val="0"/>
                          <w:marBottom w:val="0"/>
                          <w:divBdr>
                            <w:top w:val="none" w:sz="0" w:space="0" w:color="auto"/>
                            <w:left w:val="none" w:sz="0" w:space="0" w:color="auto"/>
                            <w:bottom w:val="none" w:sz="0" w:space="0" w:color="auto"/>
                            <w:right w:val="none" w:sz="0" w:space="0" w:color="auto"/>
                          </w:divBdr>
                          <w:divsChild>
                            <w:div w:id="1612207055">
                              <w:marLeft w:val="0"/>
                              <w:marRight w:val="0"/>
                              <w:marTop w:val="0"/>
                              <w:marBottom w:val="0"/>
                              <w:divBdr>
                                <w:top w:val="none" w:sz="0" w:space="0" w:color="auto"/>
                                <w:left w:val="none" w:sz="0" w:space="0" w:color="auto"/>
                                <w:bottom w:val="none" w:sz="0" w:space="0" w:color="auto"/>
                                <w:right w:val="none" w:sz="0" w:space="0" w:color="auto"/>
                              </w:divBdr>
                              <w:divsChild>
                                <w:div w:id="16180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763036">
      <w:bodyDiv w:val="1"/>
      <w:marLeft w:val="0"/>
      <w:marRight w:val="0"/>
      <w:marTop w:val="0"/>
      <w:marBottom w:val="0"/>
      <w:divBdr>
        <w:top w:val="none" w:sz="0" w:space="0" w:color="auto"/>
        <w:left w:val="none" w:sz="0" w:space="0" w:color="auto"/>
        <w:bottom w:val="none" w:sz="0" w:space="0" w:color="auto"/>
        <w:right w:val="none" w:sz="0" w:space="0" w:color="auto"/>
      </w:divBdr>
    </w:div>
    <w:div w:id="1681156853">
      <w:bodyDiv w:val="1"/>
      <w:marLeft w:val="0"/>
      <w:marRight w:val="0"/>
      <w:marTop w:val="0"/>
      <w:marBottom w:val="0"/>
      <w:divBdr>
        <w:top w:val="none" w:sz="0" w:space="0" w:color="auto"/>
        <w:left w:val="none" w:sz="0" w:space="0" w:color="auto"/>
        <w:bottom w:val="none" w:sz="0" w:space="0" w:color="auto"/>
        <w:right w:val="none" w:sz="0" w:space="0" w:color="auto"/>
      </w:divBdr>
      <w:divsChild>
        <w:div w:id="1579824157">
          <w:marLeft w:val="0"/>
          <w:marRight w:val="0"/>
          <w:marTop w:val="0"/>
          <w:marBottom w:val="0"/>
          <w:divBdr>
            <w:top w:val="none" w:sz="0" w:space="0" w:color="auto"/>
            <w:left w:val="none" w:sz="0" w:space="0" w:color="auto"/>
            <w:bottom w:val="none" w:sz="0" w:space="0" w:color="auto"/>
            <w:right w:val="none" w:sz="0" w:space="0" w:color="auto"/>
          </w:divBdr>
          <w:divsChild>
            <w:div w:id="1826362689">
              <w:marLeft w:val="0"/>
              <w:marRight w:val="0"/>
              <w:marTop w:val="0"/>
              <w:marBottom w:val="0"/>
              <w:divBdr>
                <w:top w:val="none" w:sz="0" w:space="0" w:color="auto"/>
                <w:left w:val="none" w:sz="0" w:space="0" w:color="auto"/>
                <w:bottom w:val="none" w:sz="0" w:space="0" w:color="auto"/>
                <w:right w:val="none" w:sz="0" w:space="0" w:color="auto"/>
              </w:divBdr>
              <w:divsChild>
                <w:div w:id="1338310882">
                  <w:marLeft w:val="0"/>
                  <w:marRight w:val="0"/>
                  <w:marTop w:val="0"/>
                  <w:marBottom w:val="0"/>
                  <w:divBdr>
                    <w:top w:val="none" w:sz="0" w:space="0" w:color="auto"/>
                    <w:left w:val="none" w:sz="0" w:space="0" w:color="auto"/>
                    <w:bottom w:val="none" w:sz="0" w:space="0" w:color="auto"/>
                    <w:right w:val="none" w:sz="0" w:space="0" w:color="auto"/>
                  </w:divBdr>
                  <w:divsChild>
                    <w:div w:id="1127160936">
                      <w:marLeft w:val="0"/>
                      <w:marRight w:val="0"/>
                      <w:marTop w:val="0"/>
                      <w:marBottom w:val="0"/>
                      <w:divBdr>
                        <w:top w:val="none" w:sz="0" w:space="0" w:color="auto"/>
                        <w:left w:val="none" w:sz="0" w:space="0" w:color="auto"/>
                        <w:bottom w:val="none" w:sz="0" w:space="0" w:color="auto"/>
                        <w:right w:val="none" w:sz="0" w:space="0" w:color="auto"/>
                      </w:divBdr>
                      <w:divsChild>
                        <w:div w:id="1056122544">
                          <w:marLeft w:val="0"/>
                          <w:marRight w:val="0"/>
                          <w:marTop w:val="0"/>
                          <w:marBottom w:val="0"/>
                          <w:divBdr>
                            <w:top w:val="none" w:sz="0" w:space="0" w:color="auto"/>
                            <w:left w:val="none" w:sz="0" w:space="0" w:color="auto"/>
                            <w:bottom w:val="none" w:sz="0" w:space="0" w:color="auto"/>
                            <w:right w:val="none" w:sz="0" w:space="0" w:color="auto"/>
                          </w:divBdr>
                          <w:divsChild>
                            <w:div w:id="245892124">
                              <w:marLeft w:val="0"/>
                              <w:marRight w:val="0"/>
                              <w:marTop w:val="0"/>
                              <w:marBottom w:val="0"/>
                              <w:divBdr>
                                <w:top w:val="none" w:sz="0" w:space="0" w:color="auto"/>
                                <w:left w:val="none" w:sz="0" w:space="0" w:color="auto"/>
                                <w:bottom w:val="none" w:sz="0" w:space="0" w:color="auto"/>
                                <w:right w:val="none" w:sz="0" w:space="0" w:color="auto"/>
                              </w:divBdr>
                              <w:divsChild>
                                <w:div w:id="15470567">
                                  <w:marLeft w:val="0"/>
                                  <w:marRight w:val="0"/>
                                  <w:marTop w:val="0"/>
                                  <w:marBottom w:val="0"/>
                                  <w:divBdr>
                                    <w:top w:val="none" w:sz="0" w:space="0" w:color="auto"/>
                                    <w:left w:val="none" w:sz="0" w:space="0" w:color="auto"/>
                                    <w:bottom w:val="none" w:sz="0" w:space="0" w:color="auto"/>
                                    <w:right w:val="none" w:sz="0" w:space="0" w:color="auto"/>
                                  </w:divBdr>
                                  <w:divsChild>
                                    <w:div w:id="571500504">
                                      <w:marLeft w:val="0"/>
                                      <w:marRight w:val="0"/>
                                      <w:marTop w:val="0"/>
                                      <w:marBottom w:val="0"/>
                                      <w:divBdr>
                                        <w:top w:val="none" w:sz="0" w:space="0" w:color="auto"/>
                                        <w:left w:val="none" w:sz="0" w:space="0" w:color="auto"/>
                                        <w:bottom w:val="none" w:sz="0" w:space="0" w:color="auto"/>
                                        <w:right w:val="none" w:sz="0" w:space="0" w:color="auto"/>
                                      </w:divBdr>
                                      <w:divsChild>
                                        <w:div w:id="1384912578">
                                          <w:marLeft w:val="0"/>
                                          <w:marRight w:val="0"/>
                                          <w:marTop w:val="0"/>
                                          <w:marBottom w:val="0"/>
                                          <w:divBdr>
                                            <w:top w:val="none" w:sz="0" w:space="0" w:color="auto"/>
                                            <w:left w:val="none" w:sz="0" w:space="0" w:color="auto"/>
                                            <w:bottom w:val="none" w:sz="0" w:space="0" w:color="auto"/>
                                            <w:right w:val="none" w:sz="0" w:space="0" w:color="auto"/>
                                          </w:divBdr>
                                          <w:divsChild>
                                            <w:div w:id="20124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156128">
      <w:bodyDiv w:val="1"/>
      <w:marLeft w:val="0"/>
      <w:marRight w:val="0"/>
      <w:marTop w:val="0"/>
      <w:marBottom w:val="0"/>
      <w:divBdr>
        <w:top w:val="none" w:sz="0" w:space="0" w:color="auto"/>
        <w:left w:val="none" w:sz="0" w:space="0" w:color="auto"/>
        <w:bottom w:val="none" w:sz="0" w:space="0" w:color="auto"/>
        <w:right w:val="none" w:sz="0" w:space="0" w:color="auto"/>
      </w:divBdr>
      <w:divsChild>
        <w:div w:id="1025906272">
          <w:marLeft w:val="0"/>
          <w:marRight w:val="0"/>
          <w:marTop w:val="0"/>
          <w:marBottom w:val="0"/>
          <w:divBdr>
            <w:top w:val="none" w:sz="0" w:space="0" w:color="auto"/>
            <w:left w:val="none" w:sz="0" w:space="0" w:color="auto"/>
            <w:bottom w:val="none" w:sz="0" w:space="0" w:color="auto"/>
            <w:right w:val="none" w:sz="0" w:space="0" w:color="auto"/>
          </w:divBdr>
          <w:divsChild>
            <w:div w:id="673801748">
              <w:marLeft w:val="0"/>
              <w:marRight w:val="0"/>
              <w:marTop w:val="0"/>
              <w:marBottom w:val="0"/>
              <w:divBdr>
                <w:top w:val="none" w:sz="0" w:space="0" w:color="auto"/>
                <w:left w:val="none" w:sz="0" w:space="0" w:color="auto"/>
                <w:bottom w:val="none" w:sz="0" w:space="0" w:color="auto"/>
                <w:right w:val="none" w:sz="0" w:space="0" w:color="auto"/>
              </w:divBdr>
              <w:divsChild>
                <w:div w:id="34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3048">
      <w:bodyDiv w:val="1"/>
      <w:marLeft w:val="0"/>
      <w:marRight w:val="0"/>
      <w:marTop w:val="0"/>
      <w:marBottom w:val="0"/>
      <w:divBdr>
        <w:top w:val="none" w:sz="0" w:space="0" w:color="auto"/>
        <w:left w:val="none" w:sz="0" w:space="0" w:color="auto"/>
        <w:bottom w:val="none" w:sz="0" w:space="0" w:color="auto"/>
        <w:right w:val="none" w:sz="0" w:space="0" w:color="auto"/>
      </w:divBdr>
      <w:divsChild>
        <w:div w:id="1313098523">
          <w:marLeft w:val="0"/>
          <w:marRight w:val="0"/>
          <w:marTop w:val="100"/>
          <w:marBottom w:val="100"/>
          <w:divBdr>
            <w:top w:val="none" w:sz="0" w:space="0" w:color="auto"/>
            <w:left w:val="none" w:sz="0" w:space="0" w:color="auto"/>
            <w:bottom w:val="none" w:sz="0" w:space="0" w:color="auto"/>
            <w:right w:val="none" w:sz="0" w:space="0" w:color="auto"/>
          </w:divBdr>
          <w:divsChild>
            <w:div w:id="6462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3898">
      <w:bodyDiv w:val="1"/>
      <w:marLeft w:val="0"/>
      <w:marRight w:val="0"/>
      <w:marTop w:val="0"/>
      <w:marBottom w:val="0"/>
      <w:divBdr>
        <w:top w:val="none" w:sz="0" w:space="0" w:color="auto"/>
        <w:left w:val="none" w:sz="0" w:space="0" w:color="auto"/>
        <w:bottom w:val="none" w:sz="0" w:space="0" w:color="auto"/>
        <w:right w:val="none" w:sz="0" w:space="0" w:color="auto"/>
      </w:divBdr>
      <w:divsChild>
        <w:div w:id="1348828889">
          <w:marLeft w:val="0"/>
          <w:marRight w:val="0"/>
          <w:marTop w:val="0"/>
          <w:marBottom w:val="0"/>
          <w:divBdr>
            <w:top w:val="none" w:sz="0" w:space="0" w:color="auto"/>
            <w:left w:val="none" w:sz="0" w:space="0" w:color="auto"/>
            <w:bottom w:val="none" w:sz="0" w:space="0" w:color="auto"/>
            <w:right w:val="none" w:sz="0" w:space="0" w:color="auto"/>
          </w:divBdr>
          <w:divsChild>
            <w:div w:id="1418360172">
              <w:marLeft w:val="0"/>
              <w:marRight w:val="0"/>
              <w:marTop w:val="0"/>
              <w:marBottom w:val="0"/>
              <w:divBdr>
                <w:top w:val="none" w:sz="0" w:space="0" w:color="auto"/>
                <w:left w:val="none" w:sz="0" w:space="0" w:color="auto"/>
                <w:bottom w:val="none" w:sz="0" w:space="0" w:color="auto"/>
                <w:right w:val="none" w:sz="0" w:space="0" w:color="auto"/>
              </w:divBdr>
              <w:divsChild>
                <w:div w:id="2259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21263">
      <w:bodyDiv w:val="1"/>
      <w:marLeft w:val="0"/>
      <w:marRight w:val="0"/>
      <w:marTop w:val="0"/>
      <w:marBottom w:val="0"/>
      <w:divBdr>
        <w:top w:val="none" w:sz="0" w:space="0" w:color="auto"/>
        <w:left w:val="none" w:sz="0" w:space="0" w:color="auto"/>
        <w:bottom w:val="none" w:sz="0" w:space="0" w:color="auto"/>
        <w:right w:val="none" w:sz="0" w:space="0" w:color="auto"/>
      </w:divBdr>
      <w:divsChild>
        <w:div w:id="743602815">
          <w:marLeft w:val="0"/>
          <w:marRight w:val="0"/>
          <w:marTop w:val="0"/>
          <w:marBottom w:val="0"/>
          <w:divBdr>
            <w:top w:val="none" w:sz="0" w:space="0" w:color="auto"/>
            <w:left w:val="none" w:sz="0" w:space="0" w:color="auto"/>
            <w:bottom w:val="none" w:sz="0" w:space="0" w:color="auto"/>
            <w:right w:val="none" w:sz="0" w:space="0" w:color="auto"/>
          </w:divBdr>
          <w:divsChild>
            <w:div w:id="1475022376">
              <w:marLeft w:val="0"/>
              <w:marRight w:val="0"/>
              <w:marTop w:val="0"/>
              <w:marBottom w:val="0"/>
              <w:divBdr>
                <w:top w:val="none" w:sz="0" w:space="0" w:color="auto"/>
                <w:left w:val="none" w:sz="0" w:space="0" w:color="auto"/>
                <w:bottom w:val="none" w:sz="0" w:space="0" w:color="auto"/>
                <w:right w:val="none" w:sz="0" w:space="0" w:color="auto"/>
              </w:divBdr>
              <w:divsChild>
                <w:div w:id="774911175">
                  <w:marLeft w:val="0"/>
                  <w:marRight w:val="0"/>
                  <w:marTop w:val="0"/>
                  <w:marBottom w:val="0"/>
                  <w:divBdr>
                    <w:top w:val="none" w:sz="0" w:space="0" w:color="auto"/>
                    <w:left w:val="none" w:sz="0" w:space="0" w:color="auto"/>
                    <w:bottom w:val="none" w:sz="0" w:space="0" w:color="auto"/>
                    <w:right w:val="none" w:sz="0" w:space="0" w:color="auto"/>
                  </w:divBdr>
                  <w:divsChild>
                    <w:div w:id="421031908">
                      <w:marLeft w:val="0"/>
                      <w:marRight w:val="0"/>
                      <w:marTop w:val="0"/>
                      <w:marBottom w:val="0"/>
                      <w:divBdr>
                        <w:top w:val="none" w:sz="0" w:space="0" w:color="auto"/>
                        <w:left w:val="none" w:sz="0" w:space="0" w:color="auto"/>
                        <w:bottom w:val="none" w:sz="0" w:space="0" w:color="auto"/>
                        <w:right w:val="none" w:sz="0" w:space="0" w:color="auto"/>
                      </w:divBdr>
                      <w:divsChild>
                        <w:div w:id="1594968703">
                          <w:marLeft w:val="0"/>
                          <w:marRight w:val="0"/>
                          <w:marTop w:val="0"/>
                          <w:marBottom w:val="0"/>
                          <w:divBdr>
                            <w:top w:val="none" w:sz="0" w:space="0" w:color="auto"/>
                            <w:left w:val="none" w:sz="0" w:space="0" w:color="auto"/>
                            <w:bottom w:val="none" w:sz="0" w:space="0" w:color="auto"/>
                            <w:right w:val="none" w:sz="0" w:space="0" w:color="auto"/>
                          </w:divBdr>
                          <w:divsChild>
                            <w:div w:id="496966116">
                              <w:marLeft w:val="0"/>
                              <w:marRight w:val="0"/>
                              <w:marTop w:val="0"/>
                              <w:marBottom w:val="0"/>
                              <w:divBdr>
                                <w:top w:val="none" w:sz="0" w:space="0" w:color="auto"/>
                                <w:left w:val="none" w:sz="0" w:space="0" w:color="auto"/>
                                <w:bottom w:val="none" w:sz="0" w:space="0" w:color="auto"/>
                                <w:right w:val="none" w:sz="0" w:space="0" w:color="auto"/>
                              </w:divBdr>
                              <w:divsChild>
                                <w:div w:id="1702196163">
                                  <w:marLeft w:val="0"/>
                                  <w:marRight w:val="0"/>
                                  <w:marTop w:val="0"/>
                                  <w:marBottom w:val="0"/>
                                  <w:divBdr>
                                    <w:top w:val="none" w:sz="0" w:space="0" w:color="auto"/>
                                    <w:left w:val="none" w:sz="0" w:space="0" w:color="auto"/>
                                    <w:bottom w:val="none" w:sz="0" w:space="0" w:color="auto"/>
                                    <w:right w:val="none" w:sz="0" w:space="0" w:color="auto"/>
                                  </w:divBdr>
                                  <w:divsChild>
                                    <w:div w:id="4431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532800">
      <w:bodyDiv w:val="1"/>
      <w:marLeft w:val="0"/>
      <w:marRight w:val="0"/>
      <w:marTop w:val="0"/>
      <w:marBottom w:val="0"/>
      <w:divBdr>
        <w:top w:val="none" w:sz="0" w:space="0" w:color="auto"/>
        <w:left w:val="none" w:sz="0" w:space="0" w:color="auto"/>
        <w:bottom w:val="none" w:sz="0" w:space="0" w:color="auto"/>
        <w:right w:val="none" w:sz="0" w:space="0" w:color="auto"/>
      </w:divBdr>
      <w:divsChild>
        <w:div w:id="685793523">
          <w:marLeft w:val="0"/>
          <w:marRight w:val="0"/>
          <w:marTop w:val="0"/>
          <w:marBottom w:val="0"/>
          <w:divBdr>
            <w:top w:val="none" w:sz="0" w:space="0" w:color="auto"/>
            <w:left w:val="none" w:sz="0" w:space="0" w:color="auto"/>
            <w:bottom w:val="none" w:sz="0" w:space="0" w:color="auto"/>
            <w:right w:val="none" w:sz="0" w:space="0" w:color="auto"/>
          </w:divBdr>
          <w:divsChild>
            <w:div w:id="1013150706">
              <w:marLeft w:val="0"/>
              <w:marRight w:val="0"/>
              <w:marTop w:val="0"/>
              <w:marBottom w:val="0"/>
              <w:divBdr>
                <w:top w:val="none" w:sz="0" w:space="0" w:color="auto"/>
                <w:left w:val="none" w:sz="0" w:space="0" w:color="auto"/>
                <w:bottom w:val="none" w:sz="0" w:space="0" w:color="auto"/>
                <w:right w:val="none" w:sz="0" w:space="0" w:color="auto"/>
              </w:divBdr>
              <w:divsChild>
                <w:div w:id="56901431">
                  <w:marLeft w:val="0"/>
                  <w:marRight w:val="0"/>
                  <w:marTop w:val="0"/>
                  <w:marBottom w:val="0"/>
                  <w:divBdr>
                    <w:top w:val="none" w:sz="0" w:space="0" w:color="auto"/>
                    <w:left w:val="none" w:sz="0" w:space="0" w:color="auto"/>
                    <w:bottom w:val="none" w:sz="0" w:space="0" w:color="auto"/>
                    <w:right w:val="none" w:sz="0" w:space="0" w:color="auto"/>
                  </w:divBdr>
                  <w:divsChild>
                    <w:div w:id="1183327678">
                      <w:marLeft w:val="0"/>
                      <w:marRight w:val="0"/>
                      <w:marTop w:val="0"/>
                      <w:marBottom w:val="0"/>
                      <w:divBdr>
                        <w:top w:val="none" w:sz="0" w:space="0" w:color="auto"/>
                        <w:left w:val="none" w:sz="0" w:space="0" w:color="auto"/>
                        <w:bottom w:val="none" w:sz="0" w:space="0" w:color="auto"/>
                        <w:right w:val="none" w:sz="0" w:space="0" w:color="auto"/>
                      </w:divBdr>
                      <w:divsChild>
                        <w:div w:id="2097479782">
                          <w:marLeft w:val="0"/>
                          <w:marRight w:val="0"/>
                          <w:marTop w:val="0"/>
                          <w:marBottom w:val="0"/>
                          <w:divBdr>
                            <w:top w:val="none" w:sz="0" w:space="0" w:color="auto"/>
                            <w:left w:val="none" w:sz="0" w:space="0" w:color="auto"/>
                            <w:bottom w:val="none" w:sz="0" w:space="0" w:color="auto"/>
                            <w:right w:val="none" w:sz="0" w:space="0" w:color="auto"/>
                          </w:divBdr>
                          <w:divsChild>
                            <w:div w:id="1984042129">
                              <w:marLeft w:val="0"/>
                              <w:marRight w:val="0"/>
                              <w:marTop w:val="0"/>
                              <w:marBottom w:val="0"/>
                              <w:divBdr>
                                <w:top w:val="none" w:sz="0" w:space="0" w:color="auto"/>
                                <w:left w:val="none" w:sz="0" w:space="0" w:color="auto"/>
                                <w:bottom w:val="none" w:sz="0" w:space="0" w:color="auto"/>
                                <w:right w:val="none" w:sz="0" w:space="0" w:color="auto"/>
                              </w:divBdr>
                              <w:divsChild>
                                <w:div w:id="2067802732">
                                  <w:marLeft w:val="0"/>
                                  <w:marRight w:val="0"/>
                                  <w:marTop w:val="0"/>
                                  <w:marBottom w:val="0"/>
                                  <w:divBdr>
                                    <w:top w:val="none" w:sz="0" w:space="0" w:color="auto"/>
                                    <w:left w:val="none" w:sz="0" w:space="0" w:color="auto"/>
                                    <w:bottom w:val="none" w:sz="0" w:space="0" w:color="auto"/>
                                    <w:right w:val="none" w:sz="0" w:space="0" w:color="auto"/>
                                  </w:divBdr>
                                  <w:divsChild>
                                    <w:div w:id="178786585">
                                      <w:marLeft w:val="0"/>
                                      <w:marRight w:val="0"/>
                                      <w:marTop w:val="0"/>
                                      <w:marBottom w:val="0"/>
                                      <w:divBdr>
                                        <w:top w:val="none" w:sz="0" w:space="0" w:color="auto"/>
                                        <w:left w:val="none" w:sz="0" w:space="0" w:color="auto"/>
                                        <w:bottom w:val="none" w:sz="0" w:space="0" w:color="auto"/>
                                        <w:right w:val="none" w:sz="0" w:space="0" w:color="auto"/>
                                      </w:divBdr>
                                      <w:divsChild>
                                        <w:div w:id="1299460043">
                                          <w:marLeft w:val="0"/>
                                          <w:marRight w:val="0"/>
                                          <w:marTop w:val="0"/>
                                          <w:marBottom w:val="0"/>
                                          <w:divBdr>
                                            <w:top w:val="none" w:sz="0" w:space="0" w:color="auto"/>
                                            <w:left w:val="none" w:sz="0" w:space="0" w:color="auto"/>
                                            <w:bottom w:val="none" w:sz="0" w:space="0" w:color="auto"/>
                                            <w:right w:val="none" w:sz="0" w:space="0" w:color="auto"/>
                                          </w:divBdr>
                                          <w:divsChild>
                                            <w:div w:id="1984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cbi.nlm.nih.gov/pubmed?term=Bosch-Capblanch%20X%5BAuthor%5D&amp;cauthor=true&amp;cauthor_uid=21595905" TargetMode="External"/><Relationship Id="rId18" Type="http://schemas.openxmlformats.org/officeDocument/2006/relationships/hyperlink" Target="http://www.ncbi.nlm.nih.gov/pubmed?term=Bosch-Capblanch%20X%5BAuthor%5D&amp;cauthor=true&amp;cauthor_uid=215959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tandfonline.com/action/doSearch?action=runSearch&amp;type=advanced&amp;result=true&amp;prevSearch=%2Bauthorsfield%3A(Sala%2C+Emanuela)" TargetMode="External"/><Relationship Id="rId2" Type="http://schemas.openxmlformats.org/officeDocument/2006/relationships/numbering" Target="numbering.xml"/><Relationship Id="rId16" Type="http://schemas.openxmlformats.org/officeDocument/2006/relationships/hyperlink" Target="http://www.tandfonline.com/action/doSearch?action=runSearch&amp;type=advanced&amp;result=true&amp;prevSearch=%2Bauthorsfield%3A(J%C3%A4ckle%2C+Annett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ay@ncver.edu.au" TargetMode="External"/><Relationship Id="rId5" Type="http://schemas.openxmlformats.org/officeDocument/2006/relationships/webSettings" Target="webSettings.xml"/><Relationship Id="rId15" Type="http://schemas.openxmlformats.org/officeDocument/2006/relationships/hyperlink" Target="http://www.tandfonline.com/action/doSearch?action=runSearch&amp;type=advanced&amp;result=true&amp;prevSearch=%2Bauthorsfield%3A(Lynn%2C+Peter)" TargetMode="External"/><Relationship Id="rId23" Type="http://schemas.microsoft.com/office/2007/relationships/stylesWithEffects" Target="stylesWithEffects.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tandfonline.com/action/doSearch?action=runSearch&amp;type=advanced&amp;result=true&amp;prevSearch=%2Bauthorsfield%3A(Jenkins%2C+Stephen+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DDF7-0CDD-4E64-A97B-AA446F9E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33</Pages>
  <Words>12943</Words>
  <Characters>73776</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86546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linkage</dc:title>
  <dc:creator>Gemici &amp; Nguyen</dc:creator>
  <cp:lastModifiedBy>Alex Cook</cp:lastModifiedBy>
  <cp:revision>26</cp:revision>
  <cp:lastPrinted>2013-07-02T02:02:00Z</cp:lastPrinted>
  <dcterms:created xsi:type="dcterms:W3CDTF">2013-06-05T22:53:00Z</dcterms:created>
  <dcterms:modified xsi:type="dcterms:W3CDTF">2013-07-26T04:08:00Z</dcterms:modified>
</cp:coreProperties>
</file>